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3CEB" w14:textId="0CD98F7A" w:rsidR="00D56282" w:rsidRPr="00D56282" w:rsidRDefault="00D56282" w:rsidP="00D56282">
      <w:pPr>
        <w:jc w:val="center"/>
        <w:rPr>
          <w:rFonts w:ascii="Free 3 of 9" w:hAnsi="Free 3 of 9"/>
          <w:color w:val="000000"/>
          <w:sz w:val="40"/>
          <w:szCs w:val="40"/>
        </w:rPr>
      </w:pPr>
      <w:r>
        <w:rPr>
          <w:rFonts w:ascii="Free 3 of 9" w:hAnsi="Free 3 of 9"/>
          <w:color w:val="000000"/>
          <w:sz w:val="40"/>
          <w:szCs w:val="40"/>
        </w:rPr>
        <w:t xml:space="preserve">CONCEPTO ICBF No. </w:t>
      </w:r>
      <w:r>
        <w:rPr>
          <w:rFonts w:ascii="Free 3 of 9" w:hAnsi="Free 3 of 9"/>
          <w:color w:val="000000"/>
          <w:sz w:val="40"/>
          <w:szCs w:val="40"/>
        </w:rPr>
        <w:t>16</w:t>
      </w:r>
    </w:p>
    <w:p w14:paraId="714E9CD1" w14:textId="15D3E3FE" w:rsidR="007964A2" w:rsidRDefault="007964A2" w:rsidP="00CB3921">
      <w:pPr>
        <w:ind w:left="1418" w:hanging="1418"/>
        <w:rPr>
          <w:color w:val="000000"/>
          <w:sz w:val="27"/>
          <w:szCs w:val="27"/>
        </w:rPr>
      </w:pPr>
      <w:r>
        <w:rPr>
          <w:rFonts w:ascii="Arial" w:hAnsi="Arial" w:cs="Arial"/>
          <w:b/>
        </w:rPr>
        <w:t>Asunto:</w:t>
      </w:r>
      <w:r>
        <w:rPr>
          <w:rFonts w:ascii="Arial" w:hAnsi="Arial" w:cs="Arial"/>
          <w:b/>
        </w:rPr>
        <w:tab/>
      </w:r>
      <w:r w:rsidR="00CB3921" w:rsidRPr="00CB3921">
        <w:rPr>
          <w:rFonts w:ascii="Arial" w:hAnsi="Arial" w:cs="Arial"/>
          <w:bCs/>
        </w:rPr>
        <w:t xml:space="preserve">Respuesta </w:t>
      </w:r>
      <w:r w:rsidR="00CB3921">
        <w:rPr>
          <w:rFonts w:ascii="Arial" w:hAnsi="Arial" w:cs="Arial"/>
          <w:bCs/>
        </w:rPr>
        <w:t>– “</w:t>
      </w:r>
      <w:r w:rsidR="00CB3921">
        <w:rPr>
          <w:rFonts w:ascii="Arial" w:hAnsi="Arial" w:cs="Arial"/>
          <w:bCs/>
          <w:i/>
          <w:iCs/>
        </w:rPr>
        <w:t>Solicitud de concepto entrada en vigencia Ley 1878 de 2018</w:t>
      </w:r>
      <w:r w:rsidR="00CB3921">
        <w:rPr>
          <w:rFonts w:ascii="Arial" w:hAnsi="Arial" w:cs="Arial"/>
          <w:bCs/>
        </w:rPr>
        <w:t>”</w:t>
      </w:r>
      <w:r>
        <w:rPr>
          <w:color w:val="000000"/>
          <w:sz w:val="27"/>
          <w:szCs w:val="27"/>
        </w:rPr>
        <w:t xml:space="preserve"> </w:t>
      </w:r>
    </w:p>
    <w:p w14:paraId="6FE2F3C9" w14:textId="77771E3B" w:rsidR="007964A2" w:rsidRPr="00C4360C" w:rsidRDefault="00AA3F1C" w:rsidP="007964A2">
      <w:pPr>
        <w:spacing w:after="0"/>
        <w:rPr>
          <w:color w:val="000000"/>
          <w:sz w:val="27"/>
          <w:szCs w:val="27"/>
          <w:lang w:val="en-US"/>
        </w:rPr>
      </w:pPr>
      <w:r w:rsidRPr="00C4360C">
        <w:rPr>
          <w:rFonts w:ascii="Arial" w:hAnsi="Arial" w:cs="Arial"/>
          <w:b/>
          <w:lang w:val="en-US"/>
        </w:rPr>
        <w:t>Fecha:</w:t>
      </w:r>
      <w:r w:rsidR="007964A2" w:rsidRPr="00C4360C">
        <w:rPr>
          <w:rFonts w:ascii="Arial" w:hAnsi="Arial" w:cs="Arial"/>
          <w:b/>
          <w:lang w:val="en-US"/>
        </w:rPr>
        <w:t xml:space="preserve"> </w:t>
      </w:r>
      <w:r w:rsidR="007964A2" w:rsidRPr="00C4360C">
        <w:rPr>
          <w:rFonts w:ascii="Arial" w:hAnsi="Arial" w:cs="Arial"/>
          <w:b/>
          <w:lang w:val="en-US"/>
        </w:rPr>
        <w:tab/>
      </w:r>
      <w:r w:rsidR="00D56282" w:rsidRPr="00D56282">
        <w:rPr>
          <w:rFonts w:ascii="Arial" w:hAnsi="Arial" w:cs="Arial"/>
          <w:bCs/>
          <w:lang w:val="en-US"/>
        </w:rPr>
        <w:t>30 de Junio de 2021</w:t>
      </w:r>
      <w:r w:rsidR="00D56282">
        <w:rPr>
          <w:rFonts w:ascii="Arial" w:hAnsi="Arial" w:cs="Arial"/>
          <w:b/>
          <w:lang w:val="en-US"/>
        </w:rPr>
        <w:t xml:space="preserve"> </w:t>
      </w:r>
    </w:p>
    <w:p w14:paraId="12593CD2" w14:textId="77777777" w:rsidR="007964A2" w:rsidRPr="00C4360C" w:rsidRDefault="007964A2" w:rsidP="007964A2">
      <w:pPr>
        <w:spacing w:after="0"/>
        <w:rPr>
          <w:rFonts w:ascii="Arial" w:hAnsi="Arial" w:cs="Arial"/>
          <w:b/>
          <w:lang w:val="en-US"/>
        </w:rPr>
      </w:pPr>
    </w:p>
    <w:p w14:paraId="047F081A" w14:textId="77777777" w:rsidR="007964A2" w:rsidRPr="00C4360C" w:rsidRDefault="007964A2" w:rsidP="007964A2">
      <w:pPr>
        <w:spacing w:after="0"/>
        <w:jc w:val="center"/>
        <w:rPr>
          <w:rFonts w:ascii="Arial" w:hAnsi="Arial" w:cs="Arial"/>
          <w:b/>
          <w:lang w:val="en-US"/>
        </w:rPr>
      </w:pPr>
    </w:p>
    <w:p w14:paraId="3851A985" w14:textId="03C83C39" w:rsidR="00CB3921" w:rsidRDefault="00022C7F" w:rsidP="00CB3921">
      <w:pPr>
        <w:spacing w:after="0" w:line="240" w:lineRule="auto"/>
        <w:jc w:val="both"/>
        <w:rPr>
          <w:rFonts w:ascii="Arial" w:hAnsi="Arial" w:cs="Arial"/>
          <w:color w:val="000000"/>
        </w:rPr>
      </w:pPr>
      <w:r>
        <w:rPr>
          <w:rFonts w:ascii="Arial" w:hAnsi="Arial" w:cs="Arial"/>
          <w:color w:val="000000"/>
        </w:rPr>
        <w:t xml:space="preserve">Respetada </w:t>
      </w:r>
      <w:proofErr w:type="gramStart"/>
      <w:r>
        <w:rPr>
          <w:rFonts w:ascii="Arial" w:hAnsi="Arial" w:cs="Arial"/>
          <w:color w:val="000000"/>
        </w:rPr>
        <w:t>Jefe</w:t>
      </w:r>
      <w:proofErr w:type="gramEnd"/>
      <w:r>
        <w:rPr>
          <w:rFonts w:ascii="Arial" w:hAnsi="Arial" w:cs="Arial"/>
          <w:color w:val="000000"/>
        </w:rPr>
        <w:t xml:space="preserve"> </w:t>
      </w:r>
    </w:p>
    <w:p w14:paraId="2FE117CD" w14:textId="77777777" w:rsidR="00CB3921" w:rsidRDefault="00CB3921" w:rsidP="00CB3921">
      <w:pPr>
        <w:spacing w:after="0" w:line="240" w:lineRule="auto"/>
        <w:jc w:val="both"/>
        <w:rPr>
          <w:rFonts w:ascii="Arial" w:hAnsi="Arial" w:cs="Arial"/>
          <w:color w:val="000000"/>
        </w:rPr>
      </w:pPr>
    </w:p>
    <w:p w14:paraId="695AEE0F" w14:textId="4211DAA1" w:rsidR="00CB3921" w:rsidRDefault="00CB3921" w:rsidP="00CB3921">
      <w:pPr>
        <w:spacing w:after="0" w:line="240" w:lineRule="auto"/>
        <w:jc w:val="both"/>
        <w:rPr>
          <w:rFonts w:ascii="Arial" w:hAnsi="Arial" w:cs="Arial"/>
        </w:rPr>
      </w:pPr>
      <w:r w:rsidRPr="004B2846">
        <w:rPr>
          <w:rFonts w:ascii="Arial" w:hAnsi="Arial" w:cs="Arial"/>
        </w:rPr>
        <w:t xml:space="preserve">De manera atenta y en los términos del artículo 28 de la Ley 1755 de 2015, nos permitimos dar respuesta a la </w:t>
      </w:r>
      <w:r>
        <w:rPr>
          <w:rFonts w:ascii="Arial" w:hAnsi="Arial" w:cs="Arial"/>
        </w:rPr>
        <w:t xml:space="preserve">solicitud de concepto relacionado con la vigencia de la Ley 1878 de 2018, remitido mediante memorando 2021127100000054393 el pasado 10 de mayo.  </w:t>
      </w:r>
    </w:p>
    <w:p w14:paraId="606BA670" w14:textId="77777777" w:rsidR="00CB3921" w:rsidRDefault="00CB3921" w:rsidP="00CB3921">
      <w:pPr>
        <w:spacing w:after="0" w:line="240" w:lineRule="auto"/>
        <w:jc w:val="both"/>
        <w:rPr>
          <w:rFonts w:ascii="Arial" w:hAnsi="Arial" w:cs="Arial"/>
        </w:rPr>
      </w:pPr>
    </w:p>
    <w:p w14:paraId="68458030" w14:textId="46A5AEAC" w:rsidR="00CB3921" w:rsidRDefault="00CB3921" w:rsidP="0039233E">
      <w:pPr>
        <w:numPr>
          <w:ilvl w:val="0"/>
          <w:numId w:val="1"/>
        </w:numPr>
        <w:spacing w:after="0" w:line="240" w:lineRule="auto"/>
        <w:jc w:val="center"/>
        <w:rPr>
          <w:rFonts w:ascii="Arial" w:hAnsi="Arial" w:cs="Arial"/>
          <w:b/>
        </w:rPr>
      </w:pPr>
      <w:r w:rsidRPr="00495573">
        <w:rPr>
          <w:rFonts w:ascii="Arial" w:hAnsi="Arial" w:cs="Arial"/>
          <w:b/>
        </w:rPr>
        <w:t xml:space="preserve">SOLICITUD DE </w:t>
      </w:r>
      <w:r w:rsidR="00495573">
        <w:rPr>
          <w:rFonts w:ascii="Arial" w:hAnsi="Arial" w:cs="Arial"/>
          <w:b/>
        </w:rPr>
        <w:t xml:space="preserve">CONCEPTO </w:t>
      </w:r>
    </w:p>
    <w:p w14:paraId="5D2AD3C6" w14:textId="77777777" w:rsidR="00495573" w:rsidRPr="00495573" w:rsidRDefault="00495573" w:rsidP="00495573">
      <w:pPr>
        <w:spacing w:after="0" w:line="240" w:lineRule="auto"/>
        <w:ind w:left="720"/>
        <w:rPr>
          <w:rFonts w:ascii="Arial" w:hAnsi="Arial" w:cs="Arial"/>
          <w:b/>
        </w:rPr>
      </w:pPr>
    </w:p>
    <w:p w14:paraId="64335944" w14:textId="12D9238E" w:rsidR="00B87FC5" w:rsidRDefault="00B87FC5" w:rsidP="00CB3921">
      <w:pPr>
        <w:spacing w:after="0" w:line="240" w:lineRule="auto"/>
        <w:jc w:val="both"/>
        <w:rPr>
          <w:rFonts w:ascii="Arial" w:hAnsi="Arial" w:cs="Arial"/>
        </w:rPr>
      </w:pPr>
      <w:r>
        <w:rPr>
          <w:rFonts w:ascii="Arial" w:hAnsi="Arial" w:cs="Arial"/>
        </w:rPr>
        <w:t xml:space="preserve">En la solicitud de concepto remitida a este despacho, </w:t>
      </w:r>
      <w:r w:rsidR="006B3578">
        <w:rPr>
          <w:rFonts w:ascii="Arial" w:hAnsi="Arial" w:cs="Arial"/>
        </w:rPr>
        <w:t>se solicita la postura de la Oficina “</w:t>
      </w:r>
      <w:r w:rsidR="006B3578">
        <w:rPr>
          <w:rFonts w:ascii="Arial" w:hAnsi="Arial" w:cs="Arial"/>
          <w:i/>
          <w:iCs/>
        </w:rPr>
        <w:t>acerca de la línea que se aplica desde el 9 de enero de 2018 a la fecha en el Instituto Colombiano de Bienestar Familiar para todos los intervinientes en los procesos y actuaciones procesales que regula esta ley respecto a la fecha de entrada de vigencia de la ley 1878 de 2018</w:t>
      </w:r>
      <w:r w:rsidR="006B3578">
        <w:rPr>
          <w:rFonts w:ascii="Arial" w:hAnsi="Arial" w:cs="Arial"/>
        </w:rPr>
        <w:t xml:space="preserve">”, considerando que </w:t>
      </w:r>
      <w:r w:rsidR="00DC4484">
        <w:rPr>
          <w:rFonts w:ascii="Arial" w:hAnsi="Arial" w:cs="Arial"/>
        </w:rPr>
        <w:t xml:space="preserve">la providencia </w:t>
      </w:r>
      <w:r w:rsidR="00023405">
        <w:rPr>
          <w:rFonts w:ascii="Arial" w:hAnsi="Arial" w:cs="Arial"/>
        </w:rPr>
        <w:t>proferida por la Sala de Consulta y Servicio Civil del Consejo de Estado</w:t>
      </w:r>
      <w:r w:rsidR="00023405">
        <w:rPr>
          <w:rStyle w:val="Refdenotaalpie"/>
          <w:rFonts w:ascii="Arial" w:hAnsi="Arial" w:cs="Arial"/>
        </w:rPr>
        <w:footnoteReference w:id="1"/>
      </w:r>
      <w:r w:rsidR="00A6331D">
        <w:rPr>
          <w:rFonts w:ascii="Arial" w:hAnsi="Arial" w:cs="Arial"/>
        </w:rPr>
        <w:t xml:space="preserve"> tenía una tesis distinta a la expuesta por esta oficina respecto a la fecha de </w:t>
      </w:r>
      <w:proofErr w:type="gramStart"/>
      <w:r w:rsidR="00A6331D">
        <w:rPr>
          <w:rFonts w:ascii="Arial" w:hAnsi="Arial" w:cs="Arial"/>
        </w:rPr>
        <w:t>entrada en vigencia</w:t>
      </w:r>
      <w:proofErr w:type="gramEnd"/>
      <w:r w:rsidR="00A6331D">
        <w:rPr>
          <w:rFonts w:ascii="Arial" w:hAnsi="Arial" w:cs="Arial"/>
        </w:rPr>
        <w:t xml:space="preserve"> de la mencionada norma legal. </w:t>
      </w:r>
    </w:p>
    <w:p w14:paraId="5ABFE0A2" w14:textId="77777777" w:rsidR="00B87FC5" w:rsidRDefault="00B87FC5" w:rsidP="00CB3921">
      <w:pPr>
        <w:spacing w:after="0" w:line="240" w:lineRule="auto"/>
        <w:jc w:val="both"/>
        <w:rPr>
          <w:rFonts w:ascii="Arial" w:hAnsi="Arial" w:cs="Arial"/>
        </w:rPr>
      </w:pPr>
    </w:p>
    <w:p w14:paraId="4D53A6B3" w14:textId="5FFB2FF0" w:rsidR="00CB3921" w:rsidRDefault="00CB3921" w:rsidP="00CB3921">
      <w:pPr>
        <w:spacing w:after="0" w:line="240" w:lineRule="auto"/>
        <w:jc w:val="both"/>
        <w:rPr>
          <w:rFonts w:ascii="Arial" w:hAnsi="Arial" w:cs="Arial"/>
        </w:rPr>
      </w:pPr>
      <w:r>
        <w:rPr>
          <w:rFonts w:ascii="Arial" w:hAnsi="Arial" w:cs="Arial"/>
        </w:rPr>
        <w:t xml:space="preserve">Atendiendo al hecho de que la solicitud de </w:t>
      </w:r>
      <w:r w:rsidR="00495573">
        <w:rPr>
          <w:rFonts w:ascii="Arial" w:hAnsi="Arial" w:cs="Arial"/>
        </w:rPr>
        <w:t>concepto</w:t>
      </w:r>
      <w:r>
        <w:rPr>
          <w:rFonts w:ascii="Arial" w:hAnsi="Arial" w:cs="Arial"/>
        </w:rPr>
        <w:t xml:space="preserve"> se encuentra fundamentada en una providencia </w:t>
      </w:r>
      <w:r w:rsidR="009238E2">
        <w:rPr>
          <w:rFonts w:ascii="Arial" w:hAnsi="Arial" w:cs="Arial"/>
        </w:rPr>
        <w:t>de</w:t>
      </w:r>
      <w:r>
        <w:rPr>
          <w:rFonts w:ascii="Arial" w:hAnsi="Arial" w:cs="Arial"/>
        </w:rPr>
        <w:t xml:space="preserve"> la Sala de Consulta y Servicio Civil del Consejo de Estado</w:t>
      </w:r>
      <w:r w:rsidR="00A6331D">
        <w:rPr>
          <w:rStyle w:val="Refdenotaalpie"/>
          <w:rFonts w:ascii="Arial" w:hAnsi="Arial" w:cs="Arial"/>
        </w:rPr>
        <w:footnoteReference w:id="2"/>
      </w:r>
      <w:r>
        <w:rPr>
          <w:rFonts w:ascii="Arial" w:hAnsi="Arial" w:cs="Arial"/>
        </w:rPr>
        <w:t xml:space="preserve">, </w:t>
      </w:r>
      <w:r w:rsidR="009238E2">
        <w:rPr>
          <w:rFonts w:ascii="Arial" w:hAnsi="Arial" w:cs="Arial"/>
        </w:rPr>
        <w:t xml:space="preserve">es </w:t>
      </w:r>
      <w:r>
        <w:rPr>
          <w:rFonts w:ascii="Arial" w:hAnsi="Arial" w:cs="Arial"/>
        </w:rPr>
        <w:t xml:space="preserve">pertinente realizar un recuento y análisis de dicha providencia. </w:t>
      </w:r>
    </w:p>
    <w:p w14:paraId="1D2F0522" w14:textId="77777777" w:rsidR="00CB3921" w:rsidRDefault="00CB3921" w:rsidP="00CB3921">
      <w:pPr>
        <w:spacing w:after="0" w:line="240" w:lineRule="auto"/>
        <w:jc w:val="both"/>
        <w:rPr>
          <w:rFonts w:ascii="Arial" w:hAnsi="Arial" w:cs="Arial"/>
        </w:rPr>
      </w:pPr>
    </w:p>
    <w:p w14:paraId="25EE42F8" w14:textId="411D98E6" w:rsidR="00CB3921" w:rsidRDefault="006E1596" w:rsidP="00CB3921">
      <w:pPr>
        <w:spacing w:after="0" w:line="240" w:lineRule="auto"/>
        <w:jc w:val="both"/>
        <w:rPr>
          <w:rFonts w:ascii="Arial" w:hAnsi="Arial" w:cs="Arial"/>
        </w:rPr>
      </w:pPr>
      <w:r>
        <w:rPr>
          <w:rFonts w:ascii="Arial" w:hAnsi="Arial" w:cs="Arial"/>
        </w:rPr>
        <w:t xml:space="preserve">Aclaramos </w:t>
      </w:r>
      <w:r w:rsidR="00CB3921">
        <w:rPr>
          <w:rFonts w:ascii="Arial" w:hAnsi="Arial" w:cs="Arial"/>
        </w:rPr>
        <w:t xml:space="preserve">que </w:t>
      </w:r>
      <w:r>
        <w:rPr>
          <w:rFonts w:ascii="Arial" w:hAnsi="Arial" w:cs="Arial"/>
        </w:rPr>
        <w:t xml:space="preserve">la decisión </w:t>
      </w:r>
      <w:r w:rsidR="00CB3921">
        <w:rPr>
          <w:rFonts w:ascii="Arial" w:hAnsi="Arial" w:cs="Arial"/>
        </w:rPr>
        <w:t>proferid</w:t>
      </w:r>
      <w:r>
        <w:rPr>
          <w:rFonts w:ascii="Arial" w:hAnsi="Arial" w:cs="Arial"/>
        </w:rPr>
        <w:t>a</w:t>
      </w:r>
      <w:r w:rsidR="00CB3921">
        <w:rPr>
          <w:rFonts w:ascii="Arial" w:hAnsi="Arial" w:cs="Arial"/>
        </w:rPr>
        <w:t xml:space="preserve"> por dicha instancia </w:t>
      </w:r>
      <w:r w:rsidR="00451673">
        <w:rPr>
          <w:rFonts w:ascii="Arial" w:hAnsi="Arial" w:cs="Arial"/>
        </w:rPr>
        <w:t xml:space="preserve">se produjo </w:t>
      </w:r>
      <w:r w:rsidR="00CB3921">
        <w:rPr>
          <w:rFonts w:ascii="Arial" w:hAnsi="Arial" w:cs="Arial"/>
        </w:rPr>
        <w:t>en el marco de un caso particular, en el cual se resolvió un conflicto de competencias promovido entre la Defensoría de Familia de Bucaramanga y la Comisar</w:t>
      </w:r>
      <w:r w:rsidR="00451673">
        <w:rPr>
          <w:rFonts w:ascii="Arial" w:hAnsi="Arial" w:cs="Arial"/>
        </w:rPr>
        <w:t>í</w:t>
      </w:r>
      <w:r w:rsidR="00CB3921">
        <w:rPr>
          <w:rFonts w:ascii="Arial" w:hAnsi="Arial" w:cs="Arial"/>
        </w:rPr>
        <w:t>a de Familia de Floridablanca</w:t>
      </w:r>
      <w:r w:rsidR="00451673">
        <w:rPr>
          <w:rFonts w:ascii="Arial" w:hAnsi="Arial" w:cs="Arial"/>
        </w:rPr>
        <w:t xml:space="preserve">. </w:t>
      </w:r>
      <w:r>
        <w:rPr>
          <w:rFonts w:ascii="Arial" w:hAnsi="Arial" w:cs="Arial"/>
        </w:rPr>
        <w:t>E</w:t>
      </w:r>
      <w:r w:rsidR="00CB3921">
        <w:rPr>
          <w:rFonts w:ascii="Arial" w:hAnsi="Arial" w:cs="Arial"/>
        </w:rPr>
        <w:t xml:space="preserve">l Consejo de Estado determinó su falta de competencia para conocer del asunto.  </w:t>
      </w:r>
    </w:p>
    <w:p w14:paraId="530A28FB" w14:textId="77777777" w:rsidR="00CB3921" w:rsidRDefault="00CB3921" w:rsidP="00CB3921">
      <w:pPr>
        <w:spacing w:after="0" w:line="240" w:lineRule="auto"/>
        <w:jc w:val="both"/>
        <w:rPr>
          <w:rFonts w:ascii="Arial" w:hAnsi="Arial" w:cs="Arial"/>
        </w:rPr>
      </w:pPr>
    </w:p>
    <w:p w14:paraId="2FE4B69B" w14:textId="72737AD8" w:rsidR="00CB3921" w:rsidRPr="00CB3921" w:rsidRDefault="00CB3921" w:rsidP="00CB3921">
      <w:pPr>
        <w:spacing w:after="0" w:line="240" w:lineRule="auto"/>
        <w:jc w:val="both"/>
        <w:rPr>
          <w:rFonts w:ascii="Arial" w:hAnsi="Arial" w:cs="Arial"/>
        </w:rPr>
      </w:pPr>
      <w:r w:rsidRPr="00CB3921">
        <w:rPr>
          <w:rFonts w:ascii="Arial" w:hAnsi="Arial" w:cs="Arial"/>
        </w:rPr>
        <w:t>Lo anterior, basándose en la función asignada a la Sala de Consulta y Servicio Civil en el artículo 39 de la Ley 1437 de 2011</w:t>
      </w:r>
      <w:r w:rsidR="000E6867">
        <w:rPr>
          <w:rFonts w:ascii="Arial" w:hAnsi="Arial" w:cs="Arial"/>
        </w:rPr>
        <w:t>,</w:t>
      </w:r>
      <w:r w:rsidRPr="00CB3921">
        <w:rPr>
          <w:rFonts w:ascii="Arial" w:hAnsi="Arial" w:cs="Arial"/>
        </w:rPr>
        <w:t xml:space="preserve"> la cual, como se reconoce en el pronunciamiento, ya no cobija este tipo de situaciones debido a la modificación realizada al artículo 99 de la Ley 1098 de 2006 por parte de la Ley 1878 de 2018</w:t>
      </w:r>
      <w:r w:rsidR="000E6867">
        <w:rPr>
          <w:rFonts w:ascii="Arial" w:hAnsi="Arial" w:cs="Arial"/>
        </w:rPr>
        <w:t xml:space="preserve">. De manera que </w:t>
      </w:r>
      <w:r w:rsidR="006E1596">
        <w:rPr>
          <w:rFonts w:ascii="Arial" w:hAnsi="Arial" w:cs="Arial"/>
        </w:rPr>
        <w:t xml:space="preserve">-concluye la decisión- </w:t>
      </w:r>
      <w:r w:rsidR="000E6867">
        <w:rPr>
          <w:rFonts w:ascii="Arial" w:hAnsi="Arial" w:cs="Arial"/>
        </w:rPr>
        <w:t xml:space="preserve">la competencia quedó radicada </w:t>
      </w:r>
      <w:r w:rsidRPr="00CB3921">
        <w:rPr>
          <w:rFonts w:ascii="Arial" w:hAnsi="Arial" w:cs="Arial"/>
        </w:rPr>
        <w:t xml:space="preserve">en cabeza de los jueces de familia. </w:t>
      </w:r>
    </w:p>
    <w:p w14:paraId="743E1632" w14:textId="77777777" w:rsidR="00CB3921" w:rsidRDefault="00CB3921" w:rsidP="00CB3921">
      <w:pPr>
        <w:spacing w:after="0" w:line="240" w:lineRule="auto"/>
        <w:jc w:val="both"/>
        <w:rPr>
          <w:rFonts w:ascii="Arial" w:hAnsi="Arial" w:cs="Arial"/>
        </w:rPr>
      </w:pPr>
    </w:p>
    <w:p w14:paraId="61BA08EA" w14:textId="56E555A0" w:rsidR="00CB3921" w:rsidRDefault="00CB3921" w:rsidP="00CB3921">
      <w:pPr>
        <w:spacing w:after="0" w:line="240" w:lineRule="auto"/>
        <w:jc w:val="both"/>
        <w:rPr>
          <w:rFonts w:ascii="Arial" w:hAnsi="Arial" w:cs="Arial"/>
        </w:rPr>
      </w:pPr>
      <w:r>
        <w:rPr>
          <w:rFonts w:ascii="Arial" w:hAnsi="Arial" w:cs="Arial"/>
        </w:rPr>
        <w:t xml:space="preserve">Sobre este particular, la Defensoría de Familia mencionada emitió un auto de trámite en el que se ordenó la verificación de derechos de un menor de edad el 6 de febrero de 2019, </w:t>
      </w:r>
      <w:r>
        <w:rPr>
          <w:rFonts w:ascii="Arial" w:hAnsi="Arial" w:cs="Arial"/>
        </w:rPr>
        <w:lastRenderedPageBreak/>
        <w:t>constat</w:t>
      </w:r>
      <w:r w:rsidR="006E1596">
        <w:rPr>
          <w:rFonts w:ascii="Arial" w:hAnsi="Arial" w:cs="Arial"/>
        </w:rPr>
        <w:t>a</w:t>
      </w:r>
      <w:r>
        <w:rPr>
          <w:rFonts w:ascii="Arial" w:hAnsi="Arial" w:cs="Arial"/>
        </w:rPr>
        <w:t>ndo que podría existir una situación de violencia intrafamiliar</w:t>
      </w:r>
      <w:r w:rsidR="006E1596">
        <w:rPr>
          <w:rFonts w:ascii="Arial" w:hAnsi="Arial" w:cs="Arial"/>
        </w:rPr>
        <w:t>,</w:t>
      </w:r>
      <w:r>
        <w:rPr>
          <w:rFonts w:ascii="Arial" w:hAnsi="Arial" w:cs="Arial"/>
        </w:rPr>
        <w:t xml:space="preserve"> debido a que se estaba suministrando al menor de edad alimentos contraindicados por prescripción médica</w:t>
      </w:r>
      <w:r w:rsidR="000E6867">
        <w:rPr>
          <w:rFonts w:ascii="Arial" w:hAnsi="Arial" w:cs="Arial"/>
        </w:rPr>
        <w:t>,</w:t>
      </w:r>
      <w:r>
        <w:rPr>
          <w:rFonts w:ascii="Arial" w:hAnsi="Arial" w:cs="Arial"/>
        </w:rPr>
        <w:t xml:space="preserve"> lo que llevó a la remisión del caso a la Comisaría de Familia. Esta autoridad administrativa, el 8 de abril de 2019, devolvió las diligencias a la Defensoría de Familia de acuerdo con la determinación de que no existían hechos de violencia intrafamiliar</w:t>
      </w:r>
      <w:r w:rsidR="006E1596">
        <w:rPr>
          <w:rFonts w:ascii="Arial" w:hAnsi="Arial" w:cs="Arial"/>
        </w:rPr>
        <w:t xml:space="preserve"> y</w:t>
      </w:r>
      <w:r w:rsidR="000E6867">
        <w:rPr>
          <w:rFonts w:ascii="Arial" w:hAnsi="Arial" w:cs="Arial"/>
        </w:rPr>
        <w:t xml:space="preserve"> propuso </w:t>
      </w:r>
      <w:r>
        <w:rPr>
          <w:rFonts w:ascii="Arial" w:hAnsi="Arial" w:cs="Arial"/>
        </w:rPr>
        <w:t xml:space="preserve">el conflicto negativo de competencias. </w:t>
      </w:r>
    </w:p>
    <w:p w14:paraId="74C50AB3" w14:textId="77777777" w:rsidR="00CB3921" w:rsidRDefault="00CB3921" w:rsidP="00CB3921">
      <w:pPr>
        <w:spacing w:after="0" w:line="240" w:lineRule="auto"/>
        <w:jc w:val="both"/>
        <w:rPr>
          <w:rFonts w:ascii="Arial" w:hAnsi="Arial" w:cs="Arial"/>
        </w:rPr>
      </w:pPr>
    </w:p>
    <w:p w14:paraId="43DAC8F8" w14:textId="4210C718" w:rsidR="00CB3921" w:rsidRDefault="006E1596" w:rsidP="00CB3921">
      <w:pPr>
        <w:spacing w:line="240" w:lineRule="auto"/>
        <w:ind w:right="-91"/>
        <w:jc w:val="both"/>
        <w:rPr>
          <w:rFonts w:ascii="Arial" w:hAnsi="Arial" w:cs="Arial"/>
        </w:rPr>
      </w:pPr>
      <w:r>
        <w:rPr>
          <w:rFonts w:ascii="Arial" w:hAnsi="Arial" w:cs="Arial"/>
        </w:rPr>
        <w:t>E</w:t>
      </w:r>
      <w:r w:rsidR="00CB3921">
        <w:rPr>
          <w:rFonts w:ascii="Arial" w:hAnsi="Arial" w:cs="Arial"/>
        </w:rPr>
        <w:t xml:space="preserve">l Consejo de Estado entró a resolver el conflicto, </w:t>
      </w:r>
      <w:r>
        <w:rPr>
          <w:rFonts w:ascii="Arial" w:hAnsi="Arial" w:cs="Arial"/>
        </w:rPr>
        <w:t xml:space="preserve">y analizó el término de </w:t>
      </w:r>
      <w:r w:rsidR="00CB3921">
        <w:rPr>
          <w:rFonts w:ascii="Arial" w:hAnsi="Arial" w:cs="Arial"/>
        </w:rPr>
        <w:t xml:space="preserve">vigencia de la Ley 1878 de 2018. Sobre este particular, </w:t>
      </w:r>
      <w:r w:rsidR="000E6867">
        <w:rPr>
          <w:rFonts w:ascii="Arial" w:hAnsi="Arial" w:cs="Arial"/>
        </w:rPr>
        <w:t>la</w:t>
      </w:r>
      <w:r w:rsidR="00CB3921">
        <w:rPr>
          <w:rFonts w:ascii="Arial" w:hAnsi="Arial" w:cs="Arial"/>
        </w:rPr>
        <w:t xml:space="preserve"> Corporación determinó que el legislador había fijado la fecha de entrada en </w:t>
      </w:r>
      <w:r>
        <w:rPr>
          <w:rFonts w:ascii="Arial" w:hAnsi="Arial" w:cs="Arial"/>
        </w:rPr>
        <w:t>v</w:t>
      </w:r>
      <w:r w:rsidR="00CB3921">
        <w:rPr>
          <w:rFonts w:ascii="Arial" w:hAnsi="Arial" w:cs="Arial"/>
        </w:rPr>
        <w:t xml:space="preserve">igor de la norma al establecer el régimen de transición </w:t>
      </w:r>
      <w:r>
        <w:rPr>
          <w:rFonts w:ascii="Arial" w:hAnsi="Arial" w:cs="Arial"/>
        </w:rPr>
        <w:t xml:space="preserve">y concluyó que </w:t>
      </w:r>
      <w:r w:rsidR="00CB3921">
        <w:rPr>
          <w:rFonts w:ascii="Arial" w:hAnsi="Arial" w:cs="Arial"/>
        </w:rPr>
        <w:t xml:space="preserve">comenzó a regir a partir de la fecha de publicación. Específicamente, la Sala señaló: </w:t>
      </w:r>
    </w:p>
    <w:p w14:paraId="3B5C9B86" w14:textId="77777777" w:rsidR="00CB3921" w:rsidRPr="006E1596" w:rsidRDefault="00CB3921" w:rsidP="00CB3921">
      <w:pPr>
        <w:spacing w:line="240" w:lineRule="auto"/>
        <w:ind w:left="426" w:right="-91"/>
        <w:jc w:val="both"/>
        <w:rPr>
          <w:rFonts w:ascii="Arial" w:hAnsi="Arial" w:cs="Arial"/>
          <w:i/>
          <w:sz w:val="20"/>
          <w:szCs w:val="20"/>
        </w:rPr>
      </w:pPr>
      <w:r w:rsidRPr="006E1596">
        <w:rPr>
          <w:rFonts w:ascii="Arial" w:hAnsi="Arial" w:cs="Arial"/>
          <w:sz w:val="20"/>
          <w:szCs w:val="20"/>
        </w:rPr>
        <w:t>“</w:t>
      </w:r>
      <w:r w:rsidRPr="006E1596">
        <w:rPr>
          <w:rFonts w:ascii="Arial" w:hAnsi="Arial" w:cs="Arial"/>
          <w:i/>
          <w:sz w:val="20"/>
          <w:szCs w:val="20"/>
        </w:rPr>
        <w:t>Si bien la Ley 1878 de 2018 no estableció una norma precisa relativa a su vigencia, por lo que, en principio, resultaría aplicable la regla general del artículo 52 de la Ley 4, el intérprete no puede pasar por alto que el artículo 13 de la Ley 1878, dispone:</w:t>
      </w:r>
    </w:p>
    <w:p w14:paraId="6AC73DD1" w14:textId="77777777" w:rsidR="00CB3921" w:rsidRPr="006E1596" w:rsidRDefault="00CB3921" w:rsidP="00CB3921">
      <w:pPr>
        <w:spacing w:line="240" w:lineRule="auto"/>
        <w:ind w:left="426" w:right="-91"/>
        <w:jc w:val="both"/>
        <w:rPr>
          <w:rFonts w:ascii="Arial" w:hAnsi="Arial" w:cs="Arial"/>
          <w:i/>
          <w:sz w:val="20"/>
          <w:szCs w:val="20"/>
        </w:rPr>
      </w:pPr>
      <w:r w:rsidRPr="006E1596">
        <w:rPr>
          <w:rFonts w:ascii="Arial" w:hAnsi="Arial" w:cs="Arial"/>
          <w:i/>
          <w:sz w:val="20"/>
          <w:szCs w:val="20"/>
        </w:rPr>
        <w:t xml:space="preserve">“Artículo 13. Los </w:t>
      </w:r>
      <w:r w:rsidRPr="006E1596">
        <w:rPr>
          <w:rFonts w:ascii="Arial" w:hAnsi="Arial" w:cs="Arial"/>
          <w:i/>
          <w:sz w:val="20"/>
          <w:szCs w:val="20"/>
          <w:u w:val="single"/>
        </w:rPr>
        <w:t xml:space="preserve">procesos en curso al </w:t>
      </w:r>
      <w:proofErr w:type="gramStart"/>
      <w:r w:rsidRPr="006E1596">
        <w:rPr>
          <w:rFonts w:ascii="Arial" w:hAnsi="Arial" w:cs="Arial"/>
          <w:i/>
          <w:sz w:val="20"/>
          <w:szCs w:val="20"/>
          <w:u w:val="single"/>
        </w:rPr>
        <w:t>entrar en vigencia</w:t>
      </w:r>
      <w:proofErr w:type="gramEnd"/>
      <w:r w:rsidRPr="006E1596">
        <w:rPr>
          <w:rFonts w:ascii="Arial" w:hAnsi="Arial" w:cs="Arial"/>
          <w:i/>
          <w:sz w:val="20"/>
          <w:szCs w:val="20"/>
          <w:u w:val="single"/>
        </w:rPr>
        <w:t xml:space="preserve"> la presente ley</w:t>
      </w:r>
      <w:r w:rsidRPr="006E1596">
        <w:rPr>
          <w:rFonts w:ascii="Arial" w:hAnsi="Arial" w:cs="Arial"/>
          <w:i/>
          <w:sz w:val="20"/>
          <w:szCs w:val="20"/>
        </w:rPr>
        <w:t xml:space="preserve">, se someterán a las siguientes reglas de </w:t>
      </w:r>
      <w:r w:rsidRPr="006E1596">
        <w:rPr>
          <w:rFonts w:ascii="Arial" w:hAnsi="Arial" w:cs="Arial"/>
          <w:i/>
          <w:sz w:val="20"/>
          <w:szCs w:val="20"/>
          <w:u w:val="single"/>
        </w:rPr>
        <w:t>tránsito de legislación</w:t>
      </w:r>
      <w:r w:rsidRPr="006E1596">
        <w:rPr>
          <w:rFonts w:ascii="Arial" w:hAnsi="Arial" w:cs="Arial"/>
          <w:i/>
          <w:sz w:val="20"/>
          <w:szCs w:val="20"/>
        </w:rPr>
        <w:t>:</w:t>
      </w:r>
    </w:p>
    <w:p w14:paraId="789B6878" w14:textId="77777777" w:rsidR="00CB3921" w:rsidRPr="006E1596" w:rsidRDefault="00CB3921" w:rsidP="00CB3921">
      <w:pPr>
        <w:numPr>
          <w:ilvl w:val="0"/>
          <w:numId w:val="2"/>
        </w:numPr>
        <w:spacing w:after="160" w:line="240" w:lineRule="auto"/>
        <w:ind w:left="426" w:right="-91" w:firstLine="0"/>
        <w:jc w:val="both"/>
        <w:rPr>
          <w:rFonts w:ascii="Arial" w:hAnsi="Arial" w:cs="Arial"/>
          <w:i/>
          <w:sz w:val="20"/>
          <w:szCs w:val="20"/>
        </w:rPr>
      </w:pPr>
      <w:r w:rsidRPr="006E1596">
        <w:rPr>
          <w:rFonts w:ascii="Arial" w:hAnsi="Arial" w:cs="Arial"/>
          <w:i/>
          <w:sz w:val="20"/>
          <w:szCs w:val="20"/>
        </w:rPr>
        <w:t xml:space="preserve">Los Procesos Administrativos de Restablecimiento de Derechos que no cuenten aún con la definición de la situación jurídica establecida en el artículo 100 de la Ley 1098 de 2006, deberán ser fallados conforme </w:t>
      </w:r>
      <w:r w:rsidRPr="006E1596">
        <w:rPr>
          <w:rFonts w:ascii="Arial" w:hAnsi="Arial" w:cs="Arial"/>
          <w:i/>
          <w:sz w:val="20"/>
          <w:szCs w:val="20"/>
          <w:u w:val="single"/>
        </w:rPr>
        <w:t>la legislación vigente al momento de su apertura</w:t>
      </w:r>
      <w:r w:rsidRPr="006E1596">
        <w:rPr>
          <w:rFonts w:ascii="Arial" w:hAnsi="Arial" w:cs="Arial"/>
          <w:i/>
          <w:sz w:val="20"/>
          <w:szCs w:val="20"/>
        </w:rPr>
        <w:t xml:space="preserve">. Una vez se encuentre en firme la declaratoria en situación de vulneración o adoptabilidad se </w:t>
      </w:r>
      <w:r w:rsidRPr="006E1596">
        <w:rPr>
          <w:rFonts w:ascii="Arial" w:hAnsi="Arial" w:cs="Arial"/>
          <w:i/>
          <w:sz w:val="20"/>
          <w:szCs w:val="20"/>
          <w:u w:val="single"/>
        </w:rPr>
        <w:t>continuará</w:t>
      </w:r>
      <w:r w:rsidRPr="006E1596">
        <w:rPr>
          <w:rFonts w:ascii="Arial" w:hAnsi="Arial" w:cs="Arial"/>
          <w:i/>
          <w:sz w:val="20"/>
          <w:szCs w:val="20"/>
        </w:rPr>
        <w:t xml:space="preserve"> el trámite de seguimiento de acuerdo con lo previsto en la presente ley.</w:t>
      </w:r>
    </w:p>
    <w:p w14:paraId="7D03B302" w14:textId="77777777" w:rsidR="00CB3921" w:rsidRPr="006E1596" w:rsidRDefault="00CB3921" w:rsidP="00CB3921">
      <w:pPr>
        <w:numPr>
          <w:ilvl w:val="0"/>
          <w:numId w:val="2"/>
        </w:numPr>
        <w:spacing w:after="160" w:line="240" w:lineRule="auto"/>
        <w:ind w:left="426" w:right="-91" w:firstLine="0"/>
        <w:jc w:val="both"/>
        <w:rPr>
          <w:rFonts w:ascii="Arial" w:hAnsi="Arial" w:cs="Arial"/>
          <w:i/>
          <w:sz w:val="20"/>
          <w:szCs w:val="20"/>
        </w:rPr>
      </w:pPr>
      <w:r w:rsidRPr="006E1596">
        <w:rPr>
          <w:rFonts w:ascii="Arial" w:hAnsi="Arial" w:cs="Arial"/>
          <w:i/>
          <w:sz w:val="20"/>
          <w:szCs w:val="20"/>
        </w:rPr>
        <w:t xml:space="preserve">Respecto de los procesos que se encuentran con declaratoria en situación de vulneración de derechos, se deberá aplicar lo dispuesto en la presente ley para el seguimiento de las medidas, cuyo término se contará </w:t>
      </w:r>
      <w:r w:rsidRPr="006E1596">
        <w:rPr>
          <w:rFonts w:ascii="Arial" w:hAnsi="Arial" w:cs="Arial"/>
          <w:i/>
          <w:sz w:val="20"/>
          <w:szCs w:val="20"/>
          <w:u w:val="single"/>
        </w:rPr>
        <w:t>a partir de la expedición de la presente ley</w:t>
      </w:r>
      <w:r w:rsidRPr="006E1596">
        <w:rPr>
          <w:rFonts w:ascii="Arial" w:hAnsi="Arial" w:cs="Arial"/>
          <w:i/>
          <w:sz w:val="20"/>
          <w:szCs w:val="20"/>
        </w:rPr>
        <w:t>”. (Se subraya).</w:t>
      </w:r>
    </w:p>
    <w:p w14:paraId="11F757D4" w14:textId="77777777" w:rsidR="00CB3921" w:rsidRPr="006E1596" w:rsidRDefault="00CB3921" w:rsidP="00CB3921">
      <w:pPr>
        <w:spacing w:after="0" w:line="240" w:lineRule="auto"/>
        <w:ind w:left="426" w:right="-91"/>
        <w:jc w:val="both"/>
        <w:rPr>
          <w:rFonts w:ascii="Arial" w:hAnsi="Arial" w:cs="Arial"/>
          <w:i/>
          <w:sz w:val="20"/>
          <w:szCs w:val="20"/>
        </w:rPr>
      </w:pPr>
      <w:r w:rsidRPr="006E1596">
        <w:rPr>
          <w:rFonts w:ascii="Arial" w:hAnsi="Arial" w:cs="Arial"/>
          <w:i/>
          <w:sz w:val="20"/>
          <w:szCs w:val="20"/>
        </w:rPr>
        <w:t xml:space="preserve">La norma transcrita alude a la vigencia de la Ley 1878 para hacer un corte respecto de los procesos en curso y fijar las reglas de tránsito de legislación, momento que acaece “a partir de la expedición” de esa ley. La manera ambigua y </w:t>
      </w:r>
      <w:proofErr w:type="gramStart"/>
      <w:r w:rsidRPr="006E1596">
        <w:rPr>
          <w:rFonts w:ascii="Arial" w:hAnsi="Arial" w:cs="Arial"/>
          <w:i/>
          <w:sz w:val="20"/>
          <w:szCs w:val="20"/>
        </w:rPr>
        <w:t>anti técnica</w:t>
      </w:r>
      <w:proofErr w:type="gramEnd"/>
      <w:r w:rsidRPr="006E1596">
        <w:rPr>
          <w:rFonts w:ascii="Arial" w:hAnsi="Arial" w:cs="Arial"/>
          <w:i/>
          <w:sz w:val="20"/>
          <w:szCs w:val="20"/>
        </w:rPr>
        <w:t xml:space="preserve"> como el Legislador alude a dos asuntos de capital importancia (la vigencia de la ley y las normas de transición), ameritan que sean dilucidados por la Sala.</w:t>
      </w:r>
    </w:p>
    <w:p w14:paraId="58F11C7B" w14:textId="77777777" w:rsidR="00CB3921" w:rsidRPr="006E1596" w:rsidRDefault="00CB3921" w:rsidP="00CB3921">
      <w:pPr>
        <w:spacing w:after="0" w:line="240" w:lineRule="auto"/>
        <w:ind w:left="426" w:right="-91"/>
        <w:jc w:val="both"/>
        <w:rPr>
          <w:rFonts w:ascii="Arial" w:hAnsi="Arial" w:cs="Arial"/>
          <w:i/>
          <w:sz w:val="20"/>
          <w:szCs w:val="20"/>
        </w:rPr>
      </w:pPr>
    </w:p>
    <w:p w14:paraId="34DE8AED" w14:textId="77777777" w:rsidR="00CB3921" w:rsidRPr="006E1596" w:rsidRDefault="00CB3921" w:rsidP="00CB3921">
      <w:pPr>
        <w:spacing w:after="0" w:line="240" w:lineRule="auto"/>
        <w:ind w:left="426" w:right="-91"/>
        <w:jc w:val="both"/>
        <w:rPr>
          <w:rFonts w:ascii="Arial" w:hAnsi="Arial" w:cs="Arial"/>
          <w:i/>
          <w:sz w:val="20"/>
          <w:szCs w:val="20"/>
        </w:rPr>
      </w:pPr>
      <w:r w:rsidRPr="006E1596">
        <w:rPr>
          <w:rFonts w:ascii="Arial" w:hAnsi="Arial" w:cs="Arial"/>
          <w:i/>
          <w:sz w:val="20"/>
          <w:szCs w:val="20"/>
        </w:rPr>
        <w:t>(…)</w:t>
      </w:r>
    </w:p>
    <w:p w14:paraId="588483AF" w14:textId="77777777" w:rsidR="00CB3921" w:rsidRPr="006E1596" w:rsidRDefault="00CB3921" w:rsidP="00CB3921">
      <w:pPr>
        <w:spacing w:after="0" w:line="240" w:lineRule="auto"/>
        <w:ind w:left="426" w:right="-91"/>
        <w:jc w:val="both"/>
        <w:rPr>
          <w:rFonts w:ascii="Arial" w:hAnsi="Arial" w:cs="Arial"/>
          <w:i/>
          <w:sz w:val="20"/>
          <w:szCs w:val="20"/>
        </w:rPr>
      </w:pPr>
    </w:p>
    <w:p w14:paraId="6EBCA564" w14:textId="77777777" w:rsidR="00CB3921" w:rsidRPr="006E1596" w:rsidRDefault="00CB3921" w:rsidP="00CB3921">
      <w:pPr>
        <w:spacing w:after="0" w:line="240" w:lineRule="auto"/>
        <w:ind w:left="426" w:right="-91"/>
        <w:jc w:val="both"/>
        <w:rPr>
          <w:rFonts w:ascii="Arial" w:hAnsi="Arial" w:cs="Arial"/>
          <w:i/>
          <w:sz w:val="20"/>
          <w:szCs w:val="20"/>
        </w:rPr>
      </w:pPr>
      <w:r w:rsidRPr="006E1596">
        <w:rPr>
          <w:rFonts w:ascii="Arial" w:hAnsi="Arial" w:cs="Arial"/>
          <w:i/>
          <w:sz w:val="20"/>
          <w:szCs w:val="20"/>
        </w:rPr>
        <w:t>Por consiguiente, si se le da un efecto útil al artículo 13 de la Ley 1878 de 2018, en el sentido de que la expresión “a partir de la expedición”</w:t>
      </w:r>
      <w:r w:rsidRPr="006E1596">
        <w:rPr>
          <w:rFonts w:ascii="Arial" w:hAnsi="Arial" w:cs="Arial"/>
          <w:i/>
          <w:sz w:val="20"/>
          <w:szCs w:val="20"/>
          <w:vertAlign w:val="superscript"/>
        </w:rPr>
        <w:footnoteReference w:id="3"/>
      </w:r>
      <w:r w:rsidRPr="006E1596">
        <w:rPr>
          <w:rFonts w:ascii="Arial" w:hAnsi="Arial" w:cs="Arial"/>
          <w:i/>
          <w:sz w:val="20"/>
          <w:szCs w:val="20"/>
        </w:rPr>
        <w:t xml:space="preserve"> de esa ley debe entenderse como el inicio de su vigencia, esto es, que el Legislador fijó la fecha de su promulgación como el día en que debía “principiar a regir” (art. 53, Ley 4 de 1913), necesariamente deberá concluirse que si la Ley 1878 fue publicada en el Diario Oficial 50.471 del </w:t>
      </w:r>
      <w:r w:rsidRPr="006E1596">
        <w:rPr>
          <w:rFonts w:ascii="Arial" w:hAnsi="Arial" w:cs="Arial"/>
          <w:b/>
          <w:i/>
          <w:sz w:val="20"/>
          <w:szCs w:val="20"/>
        </w:rPr>
        <w:t>9 de enero de 2018</w:t>
      </w:r>
      <w:r w:rsidRPr="006E1596">
        <w:rPr>
          <w:rFonts w:ascii="Arial" w:hAnsi="Arial" w:cs="Arial"/>
          <w:i/>
          <w:sz w:val="20"/>
          <w:szCs w:val="20"/>
        </w:rPr>
        <w:t>, esta comenzó a regir en esa fecha y, por lo mismo, desde ese momento comienza a regular las situaciones por ella previstas, en lo que se conoce como efecto general inmediato de la ley.</w:t>
      </w:r>
    </w:p>
    <w:p w14:paraId="5621DED8" w14:textId="77777777" w:rsidR="00CB3921" w:rsidRPr="006E1596" w:rsidRDefault="00CB3921" w:rsidP="00CB3921">
      <w:pPr>
        <w:spacing w:after="0" w:line="240" w:lineRule="auto"/>
        <w:ind w:left="426" w:right="-91"/>
        <w:jc w:val="both"/>
        <w:rPr>
          <w:rFonts w:ascii="Arial" w:hAnsi="Arial" w:cs="Arial"/>
          <w:i/>
          <w:sz w:val="20"/>
          <w:szCs w:val="20"/>
        </w:rPr>
      </w:pPr>
    </w:p>
    <w:p w14:paraId="6C6EE580" w14:textId="77777777" w:rsidR="00CB3921" w:rsidRPr="006E1596" w:rsidRDefault="00CB3921" w:rsidP="00CB3921">
      <w:pPr>
        <w:spacing w:after="0" w:line="240" w:lineRule="auto"/>
        <w:ind w:left="426" w:right="-91"/>
        <w:jc w:val="both"/>
        <w:rPr>
          <w:rFonts w:ascii="Arial" w:hAnsi="Arial" w:cs="Arial"/>
          <w:i/>
          <w:sz w:val="20"/>
          <w:szCs w:val="20"/>
        </w:rPr>
      </w:pPr>
      <w:r w:rsidRPr="006E1596">
        <w:rPr>
          <w:rFonts w:ascii="Arial" w:hAnsi="Arial" w:cs="Arial"/>
          <w:i/>
          <w:sz w:val="20"/>
          <w:szCs w:val="20"/>
        </w:rPr>
        <w:t xml:space="preserve">Así las cosas, a los procesos administrativos de restablecimiento de derechos que se </w:t>
      </w:r>
      <w:r w:rsidRPr="006E1596">
        <w:rPr>
          <w:rFonts w:ascii="Arial" w:hAnsi="Arial" w:cs="Arial"/>
          <w:b/>
          <w:i/>
          <w:sz w:val="20"/>
          <w:szCs w:val="20"/>
        </w:rPr>
        <w:t xml:space="preserve">inicien </w:t>
      </w:r>
      <w:r w:rsidRPr="006E1596">
        <w:rPr>
          <w:rFonts w:ascii="Arial" w:hAnsi="Arial" w:cs="Arial"/>
          <w:i/>
          <w:sz w:val="20"/>
          <w:szCs w:val="20"/>
        </w:rPr>
        <w:t xml:space="preserve">a partir del 9 de enero de 2018, se les aplicará en su integridad la Ley 1878 de 2018, incluida la </w:t>
      </w:r>
      <w:r w:rsidRPr="006E1596">
        <w:rPr>
          <w:rFonts w:ascii="Arial" w:hAnsi="Arial" w:cs="Arial"/>
          <w:i/>
          <w:sz w:val="20"/>
          <w:szCs w:val="20"/>
        </w:rPr>
        <w:lastRenderedPageBreak/>
        <w:t>regla especial de definición de los conflictos de competencia asignada en esos nuevos procesos al juez de familia (art. 3 par. 3, Ley 1878)”.</w:t>
      </w:r>
    </w:p>
    <w:p w14:paraId="756741F4" w14:textId="77777777" w:rsidR="00CB3921" w:rsidRDefault="00CB3921" w:rsidP="00CB3921">
      <w:pPr>
        <w:spacing w:after="0" w:line="240" w:lineRule="auto"/>
        <w:jc w:val="both"/>
        <w:rPr>
          <w:rFonts w:ascii="Arial" w:hAnsi="Arial" w:cs="Arial"/>
        </w:rPr>
      </w:pPr>
    </w:p>
    <w:p w14:paraId="365EEF17" w14:textId="343AA44D" w:rsidR="0044393A" w:rsidRDefault="00C6310D" w:rsidP="00CB3921">
      <w:pPr>
        <w:spacing w:after="0" w:line="240" w:lineRule="auto"/>
        <w:jc w:val="both"/>
        <w:rPr>
          <w:rFonts w:ascii="Arial" w:hAnsi="Arial" w:cs="Arial"/>
        </w:rPr>
      </w:pPr>
      <w:r>
        <w:rPr>
          <w:rFonts w:ascii="Arial" w:hAnsi="Arial" w:cs="Arial"/>
        </w:rPr>
        <w:t xml:space="preserve">Según el alto tribunal, </w:t>
      </w:r>
      <w:r>
        <w:rPr>
          <w:rFonts w:ascii="Arial" w:hAnsi="Arial" w:cs="Arial"/>
          <w:color w:val="000000"/>
          <w:lang w:val="es-CO"/>
        </w:rPr>
        <w:t xml:space="preserve">al mencionarse el momento de expedición de la norma dentro del régimen de transición, es posible entender que </w:t>
      </w:r>
      <w:r w:rsidR="00290810">
        <w:rPr>
          <w:rFonts w:ascii="Arial" w:hAnsi="Arial" w:cs="Arial"/>
          <w:color w:val="000000"/>
          <w:lang w:val="es-CO"/>
        </w:rPr>
        <w:t xml:space="preserve">el legislador tenía la voluntad de señalar dicha fecha como la </w:t>
      </w:r>
      <w:proofErr w:type="gramStart"/>
      <w:r w:rsidR="00290810">
        <w:rPr>
          <w:rFonts w:ascii="Arial" w:hAnsi="Arial" w:cs="Arial"/>
          <w:color w:val="000000"/>
          <w:lang w:val="es-CO"/>
        </w:rPr>
        <w:t>entrada en vigencia</w:t>
      </w:r>
      <w:proofErr w:type="gramEnd"/>
      <w:r w:rsidR="00290810">
        <w:rPr>
          <w:rFonts w:ascii="Arial" w:hAnsi="Arial" w:cs="Arial"/>
          <w:color w:val="000000"/>
          <w:lang w:val="es-CO"/>
        </w:rPr>
        <w:t xml:space="preserve"> de la norma</w:t>
      </w:r>
      <w:r w:rsidR="002A21F3">
        <w:rPr>
          <w:rFonts w:ascii="Arial" w:hAnsi="Arial" w:cs="Arial"/>
          <w:color w:val="000000"/>
          <w:lang w:val="es-CO"/>
        </w:rPr>
        <w:t xml:space="preserve">. </w:t>
      </w:r>
      <w:r w:rsidR="00331820">
        <w:rPr>
          <w:rFonts w:ascii="Arial" w:hAnsi="Arial" w:cs="Arial"/>
          <w:color w:val="000000"/>
          <w:lang w:val="es-CO"/>
        </w:rPr>
        <w:t xml:space="preserve">En contraste </w:t>
      </w:r>
      <w:r w:rsidR="002A21F3">
        <w:rPr>
          <w:rFonts w:ascii="Arial" w:hAnsi="Arial" w:cs="Arial"/>
          <w:color w:val="000000"/>
          <w:lang w:val="es-CO"/>
        </w:rPr>
        <w:t xml:space="preserve">a esta posición, la Oficina Asesora Jurídica ha proferido varios pronunciamientos en los que señala </w:t>
      </w:r>
      <w:r w:rsidR="00926D75">
        <w:rPr>
          <w:rFonts w:ascii="Arial" w:hAnsi="Arial" w:cs="Arial"/>
          <w:color w:val="000000"/>
          <w:lang w:val="es-CO"/>
        </w:rPr>
        <w:t xml:space="preserve">que </w:t>
      </w:r>
      <w:r w:rsidR="006534CA">
        <w:rPr>
          <w:rFonts w:ascii="Arial" w:hAnsi="Arial" w:cs="Arial"/>
          <w:color w:val="000000"/>
          <w:lang w:val="es-CO"/>
        </w:rPr>
        <w:t xml:space="preserve">la obligatoriedad y oponibilidad de la Ley 1878 de 2018 </w:t>
      </w:r>
      <w:r w:rsidR="00D64431">
        <w:rPr>
          <w:rFonts w:ascii="Arial" w:hAnsi="Arial" w:cs="Arial"/>
          <w:color w:val="000000"/>
          <w:lang w:val="es-CO"/>
        </w:rPr>
        <w:t>comienza dos meses después de su promulgación</w:t>
      </w:r>
      <w:r w:rsidR="00331820">
        <w:rPr>
          <w:rFonts w:ascii="Arial" w:hAnsi="Arial" w:cs="Arial"/>
          <w:color w:val="000000"/>
          <w:lang w:val="es-CO"/>
        </w:rPr>
        <w:t xml:space="preserve"> (</w:t>
      </w:r>
      <w:r w:rsidR="00D64431">
        <w:rPr>
          <w:rFonts w:ascii="Arial" w:hAnsi="Arial" w:cs="Arial"/>
          <w:color w:val="000000"/>
          <w:lang w:val="es-CO"/>
        </w:rPr>
        <w:t>9 de marzo de 2018, de conformidad con indicado en la Ley 4 de 1913</w:t>
      </w:r>
      <w:r w:rsidR="00331820">
        <w:rPr>
          <w:rFonts w:ascii="Arial" w:hAnsi="Arial" w:cs="Arial"/>
          <w:color w:val="000000"/>
          <w:lang w:val="es-CO"/>
        </w:rPr>
        <w:t>).</w:t>
      </w:r>
      <w:r w:rsidR="00926D75">
        <w:rPr>
          <w:rFonts w:ascii="Arial" w:hAnsi="Arial" w:cs="Arial"/>
          <w:color w:val="000000"/>
          <w:lang w:val="es-CO"/>
        </w:rPr>
        <w:t xml:space="preserve"> </w:t>
      </w:r>
      <w:r w:rsidR="00331820">
        <w:rPr>
          <w:rFonts w:ascii="Arial" w:hAnsi="Arial" w:cs="Arial"/>
          <w:color w:val="000000"/>
          <w:lang w:val="es-CO"/>
        </w:rPr>
        <w:t>P</w:t>
      </w:r>
      <w:r w:rsidR="005701CA">
        <w:rPr>
          <w:rFonts w:ascii="Arial" w:hAnsi="Arial" w:cs="Arial"/>
          <w:color w:val="000000"/>
          <w:lang w:val="es-CO"/>
        </w:rPr>
        <w:t xml:space="preserve">ostura que además está soportada en la jurisprudencia de la Corte Constitucional, en la que se indica que es competencia privativa del parlamento la determinación de </w:t>
      </w:r>
      <w:proofErr w:type="gramStart"/>
      <w:r w:rsidR="005701CA">
        <w:rPr>
          <w:rFonts w:ascii="Arial" w:hAnsi="Arial" w:cs="Arial"/>
          <w:color w:val="000000"/>
          <w:lang w:val="es-CO"/>
        </w:rPr>
        <w:t>entrada en vigencia</w:t>
      </w:r>
      <w:proofErr w:type="gramEnd"/>
      <w:r w:rsidR="005701CA">
        <w:rPr>
          <w:rFonts w:ascii="Arial" w:hAnsi="Arial" w:cs="Arial"/>
          <w:color w:val="000000"/>
          <w:lang w:val="es-CO"/>
        </w:rPr>
        <w:t xml:space="preserve"> de las normas. </w:t>
      </w:r>
    </w:p>
    <w:p w14:paraId="3DC61E6D" w14:textId="77777777" w:rsidR="00CB3921" w:rsidRDefault="00CB3921" w:rsidP="00CB3921">
      <w:pPr>
        <w:spacing w:after="0" w:line="240" w:lineRule="auto"/>
        <w:jc w:val="both"/>
        <w:rPr>
          <w:rFonts w:ascii="Arial" w:hAnsi="Arial" w:cs="Arial"/>
        </w:rPr>
      </w:pPr>
    </w:p>
    <w:p w14:paraId="748A0D44" w14:textId="77777777" w:rsidR="00CB3921" w:rsidRDefault="00CB3921" w:rsidP="00CB3921">
      <w:pPr>
        <w:pStyle w:val="Prrafodelista"/>
        <w:numPr>
          <w:ilvl w:val="0"/>
          <w:numId w:val="1"/>
        </w:numPr>
        <w:spacing w:after="0" w:line="240" w:lineRule="auto"/>
        <w:jc w:val="center"/>
        <w:rPr>
          <w:rFonts w:ascii="Arial" w:hAnsi="Arial" w:cs="Arial"/>
          <w:b/>
          <w:lang w:val="es-ES"/>
        </w:rPr>
      </w:pPr>
      <w:r>
        <w:rPr>
          <w:rFonts w:ascii="Arial" w:hAnsi="Arial" w:cs="Arial"/>
          <w:b/>
          <w:lang w:val="es-ES"/>
        </w:rPr>
        <w:t xml:space="preserve">ANÁLISIS DEL CASO CONCRETO </w:t>
      </w:r>
    </w:p>
    <w:p w14:paraId="6F2BE974" w14:textId="77777777" w:rsidR="00CB3921" w:rsidRDefault="00CB3921" w:rsidP="00CB3921">
      <w:pPr>
        <w:pStyle w:val="Prrafodelista"/>
        <w:spacing w:after="0" w:line="240" w:lineRule="auto"/>
        <w:ind w:left="0"/>
        <w:rPr>
          <w:rFonts w:ascii="Arial" w:hAnsi="Arial" w:cs="Arial"/>
          <w:b/>
          <w:lang w:val="es-ES"/>
        </w:rPr>
      </w:pPr>
    </w:p>
    <w:p w14:paraId="02A7FBCF" w14:textId="77777777" w:rsidR="00CB3921" w:rsidRPr="00896027" w:rsidRDefault="00CB3921" w:rsidP="00CB3921">
      <w:pPr>
        <w:pStyle w:val="Prrafodelista"/>
        <w:spacing w:after="0" w:line="240" w:lineRule="auto"/>
        <w:ind w:left="0"/>
        <w:rPr>
          <w:rFonts w:ascii="Arial" w:hAnsi="Arial" w:cs="Arial"/>
          <w:lang w:val="es-ES"/>
        </w:rPr>
      </w:pPr>
      <w:r>
        <w:rPr>
          <w:rFonts w:ascii="Arial" w:hAnsi="Arial" w:cs="Arial"/>
          <w:lang w:val="es-ES"/>
        </w:rPr>
        <w:t xml:space="preserve">Habiéndose presentado los fundamentos expuestos para solicitar la revisión de la postura de la Oficina en relación con la </w:t>
      </w:r>
      <w:proofErr w:type="gramStart"/>
      <w:r>
        <w:rPr>
          <w:rFonts w:ascii="Arial" w:hAnsi="Arial" w:cs="Arial"/>
          <w:lang w:val="es-ES"/>
        </w:rPr>
        <w:t>entrada en vigencia</w:t>
      </w:r>
      <w:proofErr w:type="gramEnd"/>
      <w:r>
        <w:rPr>
          <w:rFonts w:ascii="Arial" w:hAnsi="Arial" w:cs="Arial"/>
          <w:lang w:val="es-ES"/>
        </w:rPr>
        <w:t xml:space="preserve"> de la Ley 1878 de 2018, se procede a analizar los pronunciamientos previos emitidos y los fundamentos de los mismos. </w:t>
      </w:r>
    </w:p>
    <w:p w14:paraId="0173E0A3" w14:textId="77777777" w:rsidR="00CB3921" w:rsidRDefault="00CB3921" w:rsidP="00CB3921">
      <w:pPr>
        <w:pStyle w:val="Prrafodelista"/>
        <w:spacing w:after="0" w:line="240" w:lineRule="auto"/>
        <w:ind w:left="0"/>
        <w:rPr>
          <w:rFonts w:ascii="Arial" w:hAnsi="Arial" w:cs="Arial"/>
          <w:b/>
          <w:lang w:val="es-ES"/>
        </w:rPr>
      </w:pPr>
    </w:p>
    <w:p w14:paraId="557D75AD" w14:textId="77777777" w:rsidR="00CB3921" w:rsidRDefault="00CB3921" w:rsidP="00CB3921">
      <w:pPr>
        <w:pStyle w:val="Prrafodelista"/>
        <w:numPr>
          <w:ilvl w:val="1"/>
          <w:numId w:val="1"/>
        </w:numPr>
        <w:spacing w:after="0" w:line="240" w:lineRule="auto"/>
        <w:jc w:val="center"/>
        <w:rPr>
          <w:rFonts w:ascii="Arial" w:hAnsi="Arial" w:cs="Arial"/>
          <w:b/>
          <w:lang w:val="es-ES"/>
        </w:rPr>
      </w:pPr>
      <w:r>
        <w:rPr>
          <w:rFonts w:ascii="Arial" w:hAnsi="Arial" w:cs="Arial"/>
          <w:b/>
          <w:lang w:val="es-ES"/>
        </w:rPr>
        <w:t xml:space="preserve">Pronunciamientos previos sobre la vigencia de la Ley 1878 </w:t>
      </w:r>
    </w:p>
    <w:p w14:paraId="491861FB" w14:textId="77777777" w:rsidR="00CB3921" w:rsidRDefault="00CB3921" w:rsidP="00CB3921">
      <w:pPr>
        <w:pStyle w:val="Prrafodelista"/>
        <w:spacing w:after="0" w:line="240" w:lineRule="auto"/>
        <w:ind w:left="0"/>
        <w:rPr>
          <w:rFonts w:ascii="Arial" w:hAnsi="Arial" w:cs="Arial"/>
          <w:b/>
          <w:lang w:val="es-ES"/>
        </w:rPr>
      </w:pPr>
    </w:p>
    <w:p w14:paraId="4773B5BF" w14:textId="48BDF2B7" w:rsidR="00CB3921" w:rsidRDefault="00CB3921" w:rsidP="00CB3921">
      <w:pPr>
        <w:pStyle w:val="Prrafodelista"/>
        <w:spacing w:after="0" w:line="240" w:lineRule="auto"/>
        <w:ind w:left="0"/>
        <w:jc w:val="both"/>
        <w:rPr>
          <w:rFonts w:ascii="Arial" w:hAnsi="Arial" w:cs="Arial"/>
          <w:color w:val="000000"/>
        </w:rPr>
      </w:pPr>
      <w:r>
        <w:rPr>
          <w:rFonts w:ascii="Arial" w:hAnsi="Arial" w:cs="Arial"/>
          <w:lang w:val="es-ES"/>
        </w:rPr>
        <w:t xml:space="preserve">Ateniendo un cuestionamiento realizado por parte de la Dirección de Protección, esta Oficina emitió el memorando I-2018-019767-0101 de 16 de febrero de 2018, en el que se concluyó que al haberse pretermitido por parte del legislador el señalar la fecha de </w:t>
      </w:r>
      <w:proofErr w:type="gramStart"/>
      <w:r>
        <w:rPr>
          <w:rFonts w:ascii="Arial" w:hAnsi="Arial" w:cs="Arial"/>
          <w:lang w:val="es-ES"/>
        </w:rPr>
        <w:t>entrada en vigencia</w:t>
      </w:r>
      <w:proofErr w:type="gramEnd"/>
      <w:r>
        <w:rPr>
          <w:rFonts w:ascii="Arial" w:hAnsi="Arial" w:cs="Arial"/>
          <w:lang w:val="es-ES"/>
        </w:rPr>
        <w:t xml:space="preserve"> de la Ley, es </w:t>
      </w:r>
      <w:r w:rsidRPr="005D7957">
        <w:rPr>
          <w:rFonts w:ascii="Arial" w:hAnsi="Arial" w:cs="Arial"/>
          <w:color w:val="000000"/>
        </w:rPr>
        <w:t>aplicable el artículo 52 de la Ley 4 de 1913, según el cual la observancia de la Ley comienza dos m</w:t>
      </w:r>
      <w:r>
        <w:rPr>
          <w:rFonts w:ascii="Arial" w:hAnsi="Arial" w:cs="Arial"/>
          <w:color w:val="000000"/>
        </w:rPr>
        <w:t xml:space="preserve">eses después de su promulgación. En dicha ocasión se abordaron los conceptos de existencia, oponibilidad y entrada en vigor de la Ley y, con fundamento en ellos y citando jurisprudencia de la Corte Constitucional en la materia, se presentó la conclusión antes expuesta. </w:t>
      </w:r>
    </w:p>
    <w:p w14:paraId="3D1038E1" w14:textId="77777777" w:rsidR="00CB3921" w:rsidRDefault="00CB3921" w:rsidP="00CB3921">
      <w:pPr>
        <w:pStyle w:val="Prrafodelista"/>
        <w:spacing w:after="0" w:line="240" w:lineRule="auto"/>
        <w:ind w:left="0"/>
        <w:jc w:val="both"/>
        <w:rPr>
          <w:rFonts w:ascii="Arial" w:hAnsi="Arial" w:cs="Arial"/>
          <w:color w:val="000000"/>
        </w:rPr>
      </w:pPr>
    </w:p>
    <w:p w14:paraId="3262D712" w14:textId="5CC66244" w:rsidR="00CB3921" w:rsidRDefault="00CB3921" w:rsidP="00CB3921">
      <w:pPr>
        <w:spacing w:after="0" w:line="240" w:lineRule="auto"/>
        <w:jc w:val="both"/>
        <w:rPr>
          <w:rFonts w:ascii="Arial" w:hAnsi="Arial" w:cs="Arial"/>
          <w:color w:val="000000"/>
        </w:rPr>
      </w:pPr>
      <w:r>
        <w:rPr>
          <w:rFonts w:ascii="Arial" w:hAnsi="Arial" w:cs="Arial"/>
          <w:color w:val="000000"/>
        </w:rPr>
        <w:t>Posteriormente, atendiendo a una solicitud de alcance, la Oficina se refirió nuevamente a este asunto en el memorando S-2018-149352-0101 de</w:t>
      </w:r>
      <w:r w:rsidR="00331820">
        <w:rPr>
          <w:rFonts w:ascii="Arial" w:hAnsi="Arial" w:cs="Arial"/>
          <w:color w:val="000000"/>
        </w:rPr>
        <w:t>l</w:t>
      </w:r>
      <w:r>
        <w:rPr>
          <w:rFonts w:ascii="Arial" w:hAnsi="Arial" w:cs="Arial"/>
          <w:color w:val="000000"/>
        </w:rPr>
        <w:t xml:space="preserve"> 15 de marzo de 2018</w:t>
      </w:r>
      <w:r w:rsidR="00331820">
        <w:rPr>
          <w:rFonts w:ascii="Arial" w:hAnsi="Arial" w:cs="Arial"/>
          <w:color w:val="000000"/>
        </w:rPr>
        <w:t>. En él se indicó</w:t>
      </w:r>
      <w:r>
        <w:rPr>
          <w:rFonts w:ascii="Arial" w:hAnsi="Arial" w:cs="Arial"/>
          <w:color w:val="000000"/>
        </w:rPr>
        <w:t xml:space="preserve"> que no existía razón para revisar las conclusiones presentadas previamente </w:t>
      </w:r>
      <w:r w:rsidR="00331820">
        <w:rPr>
          <w:rFonts w:ascii="Arial" w:hAnsi="Arial" w:cs="Arial"/>
          <w:color w:val="000000"/>
        </w:rPr>
        <w:t>y aclaró</w:t>
      </w:r>
      <w:r>
        <w:rPr>
          <w:rFonts w:ascii="Arial" w:hAnsi="Arial" w:cs="Arial"/>
          <w:color w:val="000000"/>
        </w:rPr>
        <w:t xml:space="preserve"> respecto al régimen de transición, lo siguiente: </w:t>
      </w:r>
    </w:p>
    <w:p w14:paraId="14E1A462" w14:textId="77777777" w:rsidR="00CB3921" w:rsidRDefault="00CB3921" w:rsidP="00CB3921">
      <w:pPr>
        <w:spacing w:after="0" w:line="240" w:lineRule="auto"/>
        <w:jc w:val="both"/>
        <w:rPr>
          <w:rFonts w:ascii="Arial" w:hAnsi="Arial" w:cs="Arial"/>
          <w:color w:val="000000"/>
        </w:rPr>
      </w:pPr>
    </w:p>
    <w:p w14:paraId="2F6C0B16" w14:textId="77777777" w:rsidR="00CB3921" w:rsidRPr="00266000" w:rsidRDefault="00CB3921" w:rsidP="00CB3921">
      <w:pPr>
        <w:spacing w:after="0" w:line="240" w:lineRule="auto"/>
        <w:ind w:left="708"/>
        <w:jc w:val="both"/>
        <w:rPr>
          <w:rFonts w:ascii="Arial" w:hAnsi="Arial" w:cs="Arial"/>
          <w:i/>
          <w:color w:val="000000"/>
          <w:lang w:val="es-CO"/>
        </w:rPr>
      </w:pPr>
      <w:r w:rsidRPr="00266000">
        <w:rPr>
          <w:rFonts w:ascii="Arial" w:hAnsi="Arial" w:cs="Arial"/>
          <w:i/>
          <w:color w:val="000000"/>
          <w:lang w:val="es-CO"/>
        </w:rPr>
        <w:t>- Para los casos que no cuentan con definición de la situación jurídica al 9 de marzo de 2018, se aplica la Ley 1098 de 2006 y, una vez definida, se aplicará la Ley 1878 de 2018.</w:t>
      </w:r>
    </w:p>
    <w:p w14:paraId="5EF20968" w14:textId="77777777" w:rsidR="00CB3921" w:rsidRPr="00266000" w:rsidRDefault="00CB3921" w:rsidP="00CB3921">
      <w:pPr>
        <w:spacing w:after="0" w:line="240" w:lineRule="auto"/>
        <w:ind w:left="708"/>
        <w:jc w:val="both"/>
        <w:rPr>
          <w:rFonts w:ascii="Arial" w:hAnsi="Arial" w:cs="Arial"/>
          <w:i/>
          <w:color w:val="000000"/>
          <w:lang w:val="es-CO"/>
        </w:rPr>
      </w:pPr>
    </w:p>
    <w:p w14:paraId="065FC063" w14:textId="3DE0CFFB" w:rsidR="00CB3921" w:rsidRPr="00266000" w:rsidRDefault="00CB3921" w:rsidP="00CB3921">
      <w:pPr>
        <w:spacing w:after="0" w:line="240" w:lineRule="auto"/>
        <w:ind w:left="708"/>
        <w:jc w:val="both"/>
        <w:rPr>
          <w:rFonts w:ascii="Arial" w:hAnsi="Arial" w:cs="Arial"/>
          <w:i/>
          <w:color w:val="000000"/>
          <w:lang w:val="es-CO"/>
        </w:rPr>
      </w:pPr>
      <w:r w:rsidRPr="00266000">
        <w:rPr>
          <w:rFonts w:ascii="Arial" w:hAnsi="Arial" w:cs="Arial"/>
          <w:i/>
          <w:color w:val="000000"/>
          <w:lang w:val="es-CO"/>
        </w:rPr>
        <w:t xml:space="preserve">- Para los casos que cuentan con definición de la situación jurídica al 9 de marzo de 2018, se aplica la Ley 1878 de 2018 para efectos del seguimiento de las medidas. En </w:t>
      </w:r>
      <w:r w:rsidRPr="00C6310D">
        <w:rPr>
          <w:rFonts w:ascii="Arial" w:hAnsi="Arial" w:cs="Arial"/>
          <w:i/>
          <w:color w:val="000000"/>
          <w:lang w:val="es-CO"/>
        </w:rPr>
        <w:t>esta situación</w:t>
      </w:r>
      <w:r w:rsidR="00C6310D" w:rsidRPr="00C6310D">
        <w:rPr>
          <w:rFonts w:ascii="Arial" w:hAnsi="Arial" w:cs="Arial"/>
          <w:i/>
          <w:color w:val="000000"/>
          <w:lang w:val="es-CO"/>
        </w:rPr>
        <w:t>, e</w:t>
      </w:r>
      <w:r w:rsidRPr="00C6310D">
        <w:rPr>
          <w:rFonts w:ascii="Arial" w:hAnsi="Arial" w:cs="Arial"/>
          <w:i/>
          <w:color w:val="000000"/>
          <w:lang w:val="es-CO"/>
        </w:rPr>
        <w:t>l término</w:t>
      </w:r>
      <w:r w:rsidRPr="00266000">
        <w:rPr>
          <w:rFonts w:ascii="Arial" w:hAnsi="Arial" w:cs="Arial"/>
          <w:i/>
          <w:color w:val="000000"/>
          <w:lang w:val="es-CO"/>
        </w:rPr>
        <w:t xml:space="preserve"> se contabilizará a partir del 9 de enero de 2018, fecha en que fue expedida la norma. </w:t>
      </w:r>
    </w:p>
    <w:p w14:paraId="30DD7B6F" w14:textId="77777777" w:rsidR="00CB3921" w:rsidRDefault="00CB3921" w:rsidP="00CB3921">
      <w:pPr>
        <w:pStyle w:val="Prrafodelista"/>
        <w:spacing w:after="0" w:line="240" w:lineRule="auto"/>
        <w:ind w:left="0"/>
        <w:jc w:val="both"/>
        <w:rPr>
          <w:rFonts w:ascii="Arial" w:hAnsi="Arial" w:cs="Arial"/>
          <w:lang w:val="es-ES"/>
        </w:rPr>
      </w:pPr>
    </w:p>
    <w:p w14:paraId="79DA9377" w14:textId="31F4A04F" w:rsidR="00CB3921" w:rsidRDefault="00CB3921" w:rsidP="00CB3921">
      <w:pPr>
        <w:pStyle w:val="Prrafodelista"/>
        <w:spacing w:after="0" w:line="240" w:lineRule="auto"/>
        <w:ind w:left="0"/>
        <w:jc w:val="both"/>
        <w:rPr>
          <w:rFonts w:ascii="Arial" w:hAnsi="Arial" w:cs="Arial"/>
          <w:lang w:val="es-ES"/>
        </w:rPr>
      </w:pPr>
      <w:r>
        <w:rPr>
          <w:rFonts w:ascii="Arial" w:hAnsi="Arial" w:cs="Arial"/>
          <w:lang w:val="es-ES"/>
        </w:rPr>
        <w:t xml:space="preserve">Finalmente, </w:t>
      </w:r>
      <w:r w:rsidR="00312479">
        <w:rPr>
          <w:rFonts w:ascii="Arial" w:hAnsi="Arial" w:cs="Arial"/>
          <w:lang w:val="es-ES"/>
        </w:rPr>
        <w:t xml:space="preserve">debe mencionarse el oficio S-2019 -020181-0101 del 16 de enero de 2019, en el que se dio respuesta a un grupo de defensores de familia </w:t>
      </w:r>
      <w:r w:rsidR="00283D18">
        <w:rPr>
          <w:rFonts w:ascii="Arial" w:hAnsi="Arial" w:cs="Arial"/>
          <w:lang w:val="es-ES"/>
        </w:rPr>
        <w:t xml:space="preserve">que solicitaban la revisión de </w:t>
      </w:r>
      <w:r w:rsidR="00283D18">
        <w:rPr>
          <w:rFonts w:ascii="Arial" w:hAnsi="Arial" w:cs="Arial"/>
          <w:lang w:val="es-ES"/>
        </w:rPr>
        <w:lastRenderedPageBreak/>
        <w:t>la postura de esta Oficina con fundament</w:t>
      </w:r>
      <w:r w:rsidR="009238E2">
        <w:rPr>
          <w:rFonts w:ascii="Arial" w:hAnsi="Arial" w:cs="Arial"/>
          <w:lang w:val="es-ES"/>
        </w:rPr>
        <w:t>o</w:t>
      </w:r>
      <w:r w:rsidR="00283D18">
        <w:rPr>
          <w:rFonts w:ascii="Arial" w:hAnsi="Arial" w:cs="Arial"/>
          <w:lang w:val="es-ES"/>
        </w:rPr>
        <w:t xml:space="preserve"> en un</w:t>
      </w:r>
      <w:r w:rsidR="000B20CF">
        <w:rPr>
          <w:rFonts w:ascii="Arial" w:hAnsi="Arial" w:cs="Arial"/>
          <w:lang w:val="es-ES"/>
        </w:rPr>
        <w:t xml:space="preserve">a providencia también emitida por la Sala de Consulta y Servicio Civil en el marco de un conflicto negativo de competencias. </w:t>
      </w:r>
    </w:p>
    <w:p w14:paraId="6EB7665F" w14:textId="0CDF32AA" w:rsidR="000B20CF" w:rsidRDefault="000B20CF" w:rsidP="00CB3921">
      <w:pPr>
        <w:pStyle w:val="Prrafodelista"/>
        <w:spacing w:after="0" w:line="240" w:lineRule="auto"/>
        <w:ind w:left="0"/>
        <w:jc w:val="both"/>
        <w:rPr>
          <w:rFonts w:ascii="Arial" w:hAnsi="Arial" w:cs="Arial"/>
          <w:lang w:val="es-ES"/>
        </w:rPr>
      </w:pPr>
    </w:p>
    <w:p w14:paraId="3E6CDE98" w14:textId="5EB84387" w:rsidR="00CB3921" w:rsidRDefault="000B20CF" w:rsidP="00CB3921">
      <w:pPr>
        <w:pStyle w:val="Prrafodelista"/>
        <w:spacing w:after="0" w:line="240" w:lineRule="auto"/>
        <w:ind w:left="0"/>
        <w:jc w:val="both"/>
        <w:rPr>
          <w:rFonts w:ascii="Arial" w:hAnsi="Arial" w:cs="Arial"/>
          <w:lang w:val="es-ES"/>
        </w:rPr>
      </w:pPr>
      <w:r>
        <w:rPr>
          <w:rFonts w:ascii="Arial" w:hAnsi="Arial" w:cs="Arial"/>
          <w:lang w:val="es-ES"/>
        </w:rPr>
        <w:t xml:space="preserve">En la misma línea que se expondrá en este documento, esta última solicitud fue resuelta </w:t>
      </w:r>
      <w:r w:rsidR="00020685">
        <w:rPr>
          <w:rFonts w:ascii="Arial" w:hAnsi="Arial" w:cs="Arial"/>
          <w:lang w:val="es-ES"/>
        </w:rPr>
        <w:t xml:space="preserve">de manera desfavorable a la pretensión de revisión de los solicitantes, en la medida en que se trataba de una decisión </w:t>
      </w:r>
      <w:proofErr w:type="gramStart"/>
      <w:r w:rsidR="00020685" w:rsidRPr="00010A34">
        <w:rPr>
          <w:rFonts w:ascii="Arial" w:hAnsi="Arial" w:cs="Arial"/>
          <w:i/>
          <w:iCs/>
          <w:lang w:val="es-ES"/>
        </w:rPr>
        <w:t>inter partes</w:t>
      </w:r>
      <w:proofErr w:type="gramEnd"/>
      <w:r w:rsidR="00020685">
        <w:rPr>
          <w:rFonts w:ascii="Arial" w:hAnsi="Arial" w:cs="Arial"/>
          <w:lang w:val="es-ES"/>
        </w:rPr>
        <w:t xml:space="preserve">, que sólo tenía efectos respecto de </w:t>
      </w:r>
      <w:r w:rsidR="00C9543B">
        <w:rPr>
          <w:rFonts w:ascii="Arial" w:hAnsi="Arial" w:cs="Arial"/>
          <w:lang w:val="es-ES"/>
        </w:rPr>
        <w:t>los involucrados en el proceso</w:t>
      </w:r>
      <w:r w:rsidR="003915EA">
        <w:rPr>
          <w:rFonts w:ascii="Arial" w:hAnsi="Arial" w:cs="Arial"/>
          <w:lang w:val="es-ES"/>
        </w:rPr>
        <w:t xml:space="preserve"> y cuyo razonamiento era contrario a lo expresado por la jurisprudencia de la Sala Plena de la Corte Constitucional</w:t>
      </w:r>
      <w:r w:rsidR="00010A34">
        <w:rPr>
          <w:rFonts w:ascii="Arial" w:hAnsi="Arial" w:cs="Arial"/>
          <w:lang w:val="es-ES"/>
        </w:rPr>
        <w:t xml:space="preserve">. </w:t>
      </w:r>
    </w:p>
    <w:p w14:paraId="5AC41A51" w14:textId="77777777" w:rsidR="00010A34" w:rsidRDefault="00010A34" w:rsidP="00CB3921">
      <w:pPr>
        <w:pStyle w:val="Prrafodelista"/>
        <w:spacing w:after="0" w:line="240" w:lineRule="auto"/>
        <w:ind w:left="0"/>
        <w:jc w:val="both"/>
        <w:rPr>
          <w:rFonts w:ascii="Arial" w:hAnsi="Arial" w:cs="Arial"/>
          <w:lang w:val="es-ES"/>
        </w:rPr>
      </w:pPr>
    </w:p>
    <w:p w14:paraId="7E22B18B" w14:textId="41B4B33A" w:rsidR="00CB3921" w:rsidRDefault="000B20CF" w:rsidP="00CB3921">
      <w:pPr>
        <w:pStyle w:val="Prrafodelista"/>
        <w:spacing w:after="0" w:line="240" w:lineRule="auto"/>
        <w:ind w:left="0"/>
        <w:jc w:val="both"/>
        <w:rPr>
          <w:rFonts w:ascii="Arial" w:hAnsi="Arial" w:cs="Arial"/>
          <w:lang w:val="es-ES"/>
        </w:rPr>
      </w:pPr>
      <w:r>
        <w:rPr>
          <w:rFonts w:ascii="Arial" w:hAnsi="Arial" w:cs="Arial"/>
          <w:lang w:val="es-ES"/>
        </w:rPr>
        <w:t xml:space="preserve">Huelga mencionar </w:t>
      </w:r>
      <w:proofErr w:type="gramStart"/>
      <w:r>
        <w:rPr>
          <w:rFonts w:ascii="Arial" w:hAnsi="Arial" w:cs="Arial"/>
          <w:lang w:val="es-ES"/>
        </w:rPr>
        <w:t>que</w:t>
      </w:r>
      <w:proofErr w:type="gramEnd"/>
      <w:r>
        <w:rPr>
          <w:rFonts w:ascii="Arial" w:hAnsi="Arial" w:cs="Arial"/>
          <w:lang w:val="es-ES"/>
        </w:rPr>
        <w:t xml:space="preserve"> e</w:t>
      </w:r>
      <w:r w:rsidR="00CB3921">
        <w:rPr>
          <w:rFonts w:ascii="Arial" w:hAnsi="Arial" w:cs="Arial"/>
          <w:lang w:val="es-ES"/>
        </w:rPr>
        <w:t xml:space="preserve">n </w:t>
      </w:r>
      <w:r>
        <w:rPr>
          <w:rFonts w:ascii="Arial" w:hAnsi="Arial" w:cs="Arial"/>
          <w:lang w:val="es-ES"/>
        </w:rPr>
        <w:t>los tres</w:t>
      </w:r>
      <w:r w:rsidR="00CB3921">
        <w:rPr>
          <w:rFonts w:ascii="Arial" w:hAnsi="Arial" w:cs="Arial"/>
          <w:lang w:val="es-ES"/>
        </w:rPr>
        <w:t xml:space="preserve"> casos, los conceptos proferidos por parte de la Oficina Asesora Jurídica estuvieron fundamentados en el marco legal aplicable y en las consideraciones expuestas por parte de la Sala Plena de la Corte Constitucional. </w:t>
      </w:r>
    </w:p>
    <w:p w14:paraId="14022A8B" w14:textId="77777777" w:rsidR="00CB3921" w:rsidRPr="00896027" w:rsidRDefault="00CB3921" w:rsidP="00CB3921">
      <w:pPr>
        <w:pStyle w:val="Prrafodelista"/>
        <w:spacing w:after="0" w:line="240" w:lineRule="auto"/>
        <w:ind w:left="0"/>
        <w:jc w:val="both"/>
        <w:rPr>
          <w:rFonts w:ascii="Arial" w:hAnsi="Arial" w:cs="Arial"/>
          <w:lang w:val="es-ES"/>
        </w:rPr>
      </w:pPr>
    </w:p>
    <w:p w14:paraId="3226D284" w14:textId="77777777" w:rsidR="00CB3921" w:rsidRDefault="00CB3921" w:rsidP="00CB3921">
      <w:pPr>
        <w:pStyle w:val="Prrafodelista"/>
        <w:numPr>
          <w:ilvl w:val="1"/>
          <w:numId w:val="1"/>
        </w:numPr>
        <w:spacing w:after="0" w:line="240" w:lineRule="auto"/>
        <w:jc w:val="center"/>
        <w:rPr>
          <w:rFonts w:ascii="Arial" w:hAnsi="Arial" w:cs="Arial"/>
          <w:b/>
          <w:lang w:val="es-ES"/>
        </w:rPr>
      </w:pPr>
      <w:r>
        <w:rPr>
          <w:rFonts w:ascii="Arial" w:hAnsi="Arial" w:cs="Arial"/>
          <w:b/>
          <w:lang w:val="es-ES"/>
        </w:rPr>
        <w:t xml:space="preserve">Determinación de la </w:t>
      </w:r>
      <w:proofErr w:type="gramStart"/>
      <w:r>
        <w:rPr>
          <w:rFonts w:ascii="Arial" w:hAnsi="Arial" w:cs="Arial"/>
          <w:b/>
          <w:lang w:val="es-ES"/>
        </w:rPr>
        <w:t>entrada en vigencia</w:t>
      </w:r>
      <w:proofErr w:type="gramEnd"/>
      <w:r>
        <w:rPr>
          <w:rFonts w:ascii="Arial" w:hAnsi="Arial" w:cs="Arial"/>
          <w:b/>
          <w:lang w:val="es-ES"/>
        </w:rPr>
        <w:t xml:space="preserve"> de una Ley </w:t>
      </w:r>
    </w:p>
    <w:p w14:paraId="1666D863" w14:textId="77777777" w:rsidR="00CB3921" w:rsidRDefault="00CB3921" w:rsidP="00CB3921">
      <w:pPr>
        <w:pStyle w:val="Prrafodelista"/>
        <w:spacing w:after="0" w:line="240" w:lineRule="auto"/>
        <w:ind w:left="0"/>
        <w:rPr>
          <w:rFonts w:ascii="Arial" w:hAnsi="Arial" w:cs="Arial"/>
          <w:b/>
          <w:lang w:val="es-ES"/>
        </w:rPr>
      </w:pPr>
    </w:p>
    <w:p w14:paraId="02881DEB" w14:textId="58422818" w:rsidR="00CB3921" w:rsidRDefault="00CB3921" w:rsidP="00CB3921">
      <w:pPr>
        <w:pStyle w:val="Prrafodelista"/>
        <w:spacing w:after="0" w:line="240" w:lineRule="auto"/>
        <w:ind w:left="0"/>
        <w:jc w:val="both"/>
        <w:rPr>
          <w:rFonts w:ascii="Arial" w:hAnsi="Arial" w:cs="Arial"/>
          <w:lang w:val="es-ES"/>
        </w:rPr>
      </w:pPr>
      <w:r>
        <w:rPr>
          <w:rFonts w:ascii="Arial" w:hAnsi="Arial" w:cs="Arial"/>
          <w:lang w:val="es-ES"/>
        </w:rPr>
        <w:t xml:space="preserve">Teniendo en cuenta que se está realizando un cuestionamiento </w:t>
      </w:r>
      <w:r w:rsidR="00331820">
        <w:rPr>
          <w:rFonts w:ascii="Arial" w:hAnsi="Arial" w:cs="Arial"/>
          <w:lang w:val="es-ES"/>
        </w:rPr>
        <w:t>sobre</w:t>
      </w:r>
      <w:r>
        <w:rPr>
          <w:rFonts w:ascii="Arial" w:hAnsi="Arial" w:cs="Arial"/>
          <w:lang w:val="es-ES"/>
        </w:rPr>
        <w:t xml:space="preserve"> los conceptos preferidos por</w:t>
      </w:r>
      <w:r w:rsidR="000E6867">
        <w:rPr>
          <w:rFonts w:ascii="Arial" w:hAnsi="Arial" w:cs="Arial"/>
          <w:lang w:val="es-ES"/>
        </w:rPr>
        <w:t xml:space="preserve"> esta dependencia</w:t>
      </w:r>
      <w:r>
        <w:rPr>
          <w:rFonts w:ascii="Arial" w:hAnsi="Arial" w:cs="Arial"/>
          <w:lang w:val="es-ES"/>
        </w:rPr>
        <w:t xml:space="preserve">, es necesario reiterar los razonamientos presentados </w:t>
      </w:r>
      <w:r w:rsidR="000E6867">
        <w:rPr>
          <w:rFonts w:ascii="Arial" w:hAnsi="Arial" w:cs="Arial"/>
          <w:lang w:val="es-ES"/>
        </w:rPr>
        <w:t>con anterioridad</w:t>
      </w:r>
      <w:r>
        <w:rPr>
          <w:rFonts w:ascii="Arial" w:hAnsi="Arial" w:cs="Arial"/>
          <w:lang w:val="es-ES"/>
        </w:rPr>
        <w:t xml:space="preserve">, </w:t>
      </w:r>
      <w:r w:rsidR="00C6310D">
        <w:rPr>
          <w:rFonts w:ascii="Arial" w:hAnsi="Arial" w:cs="Arial"/>
          <w:lang w:val="es-ES"/>
        </w:rPr>
        <w:t xml:space="preserve">con especial </w:t>
      </w:r>
      <w:r w:rsidR="009238E2">
        <w:rPr>
          <w:rFonts w:ascii="Arial" w:hAnsi="Arial" w:cs="Arial"/>
          <w:lang w:val="es-ES"/>
        </w:rPr>
        <w:t>énfasis</w:t>
      </w:r>
      <w:r>
        <w:rPr>
          <w:rFonts w:ascii="Arial" w:hAnsi="Arial" w:cs="Arial"/>
          <w:lang w:val="es-ES"/>
        </w:rPr>
        <w:t xml:space="preserve"> en relación con la promulgación de una ley</w:t>
      </w:r>
      <w:r w:rsidR="000E6867">
        <w:rPr>
          <w:rFonts w:ascii="Arial" w:hAnsi="Arial" w:cs="Arial"/>
          <w:lang w:val="es-ES"/>
        </w:rPr>
        <w:t>.</w:t>
      </w:r>
      <w:r>
        <w:rPr>
          <w:rFonts w:ascii="Arial" w:hAnsi="Arial" w:cs="Arial"/>
          <w:lang w:val="es-ES"/>
        </w:rPr>
        <w:t xml:space="preserve"> </w:t>
      </w:r>
    </w:p>
    <w:p w14:paraId="7793AEAC" w14:textId="77777777" w:rsidR="00C6310D" w:rsidRDefault="00C6310D" w:rsidP="00CB3921">
      <w:pPr>
        <w:pStyle w:val="Prrafodelista"/>
        <w:spacing w:after="0" w:line="240" w:lineRule="auto"/>
        <w:ind w:left="0"/>
        <w:jc w:val="both"/>
        <w:rPr>
          <w:rFonts w:ascii="Arial" w:hAnsi="Arial" w:cs="Arial"/>
          <w:lang w:val="es-ES"/>
        </w:rPr>
      </w:pPr>
    </w:p>
    <w:p w14:paraId="34824A0D" w14:textId="7D08F6BC" w:rsidR="00CB3921" w:rsidRDefault="000E6867" w:rsidP="00CB3921">
      <w:pPr>
        <w:spacing w:after="0" w:line="240" w:lineRule="auto"/>
        <w:jc w:val="both"/>
        <w:rPr>
          <w:rFonts w:ascii="Arial" w:hAnsi="Arial" w:cs="Arial"/>
          <w:color w:val="000000"/>
          <w:lang w:val="es-CO"/>
        </w:rPr>
      </w:pPr>
      <w:r>
        <w:rPr>
          <w:rFonts w:ascii="Arial" w:hAnsi="Arial" w:cs="Arial"/>
          <w:color w:val="000000"/>
          <w:lang w:val="es-CO"/>
        </w:rPr>
        <w:t>L</w:t>
      </w:r>
      <w:r w:rsidR="00CB3921">
        <w:rPr>
          <w:rFonts w:ascii="Arial" w:hAnsi="Arial" w:cs="Arial"/>
          <w:color w:val="000000"/>
          <w:lang w:val="es-CO"/>
        </w:rPr>
        <w:t>a Corte Constitucional ha señalado que</w:t>
      </w:r>
      <w:r>
        <w:rPr>
          <w:rFonts w:ascii="Arial" w:hAnsi="Arial" w:cs="Arial"/>
          <w:color w:val="000000"/>
          <w:lang w:val="es-CO"/>
        </w:rPr>
        <w:t xml:space="preserve"> la promulgación </w:t>
      </w:r>
      <w:r w:rsidR="00CB3921">
        <w:rPr>
          <w:rFonts w:ascii="Arial" w:hAnsi="Arial" w:cs="Arial"/>
          <w:color w:val="000000"/>
          <w:lang w:val="es-CO"/>
        </w:rPr>
        <w:t xml:space="preserve">de un acto </w:t>
      </w:r>
      <w:r>
        <w:rPr>
          <w:rFonts w:ascii="Arial" w:hAnsi="Arial" w:cs="Arial"/>
          <w:color w:val="000000"/>
          <w:lang w:val="es-CO"/>
        </w:rPr>
        <w:t xml:space="preserve">es </w:t>
      </w:r>
      <w:r w:rsidR="00CB3921">
        <w:rPr>
          <w:rFonts w:ascii="Arial" w:hAnsi="Arial" w:cs="Arial"/>
          <w:color w:val="000000"/>
          <w:lang w:val="es-CO"/>
        </w:rPr>
        <w:t xml:space="preserve">posterior </w:t>
      </w:r>
      <w:r w:rsidR="00CB3921" w:rsidRPr="00964A5F">
        <w:rPr>
          <w:rFonts w:ascii="Arial" w:hAnsi="Arial" w:cs="Arial"/>
          <w:color w:val="000000"/>
          <w:lang w:val="es-CO"/>
        </w:rPr>
        <w:t>al momento de la existencia de la</w:t>
      </w:r>
      <w:r>
        <w:rPr>
          <w:rFonts w:ascii="Arial" w:hAnsi="Arial" w:cs="Arial"/>
          <w:color w:val="000000"/>
          <w:lang w:val="es-CO"/>
        </w:rPr>
        <w:t xml:space="preserve"> ley</w:t>
      </w:r>
      <w:r w:rsidR="00CB3921" w:rsidRPr="00964A5F">
        <w:rPr>
          <w:rFonts w:ascii="Arial" w:hAnsi="Arial" w:cs="Arial"/>
          <w:color w:val="000000"/>
          <w:lang w:val="es-CO"/>
        </w:rPr>
        <w:t>, que guarda relación directa</w:t>
      </w:r>
      <w:r w:rsidR="00CB3921">
        <w:rPr>
          <w:rFonts w:ascii="Arial" w:hAnsi="Arial" w:cs="Arial"/>
          <w:color w:val="000000"/>
          <w:lang w:val="es-CO"/>
        </w:rPr>
        <w:t xml:space="preserve"> con su eficacia y oponibilidad</w:t>
      </w:r>
      <w:r w:rsidR="00CB3921">
        <w:rPr>
          <w:rStyle w:val="Refdenotaalpie"/>
          <w:rFonts w:ascii="Arial" w:hAnsi="Arial" w:cs="Arial"/>
          <w:color w:val="000000"/>
          <w:lang w:val="es-CO"/>
        </w:rPr>
        <w:footnoteReference w:id="4"/>
      </w:r>
      <w:r w:rsidR="00CB3921">
        <w:rPr>
          <w:rFonts w:ascii="Arial" w:hAnsi="Arial" w:cs="Arial"/>
          <w:color w:val="000000"/>
          <w:lang w:val="es-CO"/>
        </w:rPr>
        <w:t xml:space="preserve">. Así, se trata de una operación administrativa que normalmente consiste, en su faceta material, </w:t>
      </w:r>
      <w:r w:rsidR="00CB3921" w:rsidRPr="005475F6">
        <w:rPr>
          <w:rFonts w:ascii="Arial" w:hAnsi="Arial" w:cs="Arial"/>
          <w:color w:val="000000"/>
          <w:lang w:val="es-CO"/>
        </w:rPr>
        <w:t>en el proceso de inserción, impresión y publicación del Diario Oficial</w:t>
      </w:r>
      <w:r w:rsidR="00CB3921">
        <w:rPr>
          <w:rStyle w:val="Refdenotaalpie"/>
          <w:rFonts w:ascii="Arial" w:hAnsi="Arial" w:cs="Arial"/>
          <w:color w:val="000000"/>
          <w:lang w:val="es-CO"/>
        </w:rPr>
        <w:footnoteReference w:id="5"/>
      </w:r>
      <w:r w:rsidR="00CB3921">
        <w:rPr>
          <w:rFonts w:ascii="Arial" w:hAnsi="Arial" w:cs="Arial"/>
          <w:color w:val="000000"/>
          <w:lang w:val="es-CO"/>
        </w:rPr>
        <w:t xml:space="preserve">. </w:t>
      </w:r>
    </w:p>
    <w:p w14:paraId="055FAEDE" w14:textId="77777777" w:rsidR="00CB3921" w:rsidRDefault="00CB3921" w:rsidP="00CB3921">
      <w:pPr>
        <w:spacing w:after="0" w:line="240" w:lineRule="auto"/>
        <w:jc w:val="both"/>
        <w:rPr>
          <w:rFonts w:ascii="Arial" w:hAnsi="Arial" w:cs="Arial"/>
          <w:color w:val="000000"/>
          <w:lang w:val="es-CO"/>
        </w:rPr>
      </w:pPr>
    </w:p>
    <w:p w14:paraId="42C41B78" w14:textId="4CC1F9F7" w:rsidR="00CB3921" w:rsidRDefault="00CB3921" w:rsidP="00CB3921">
      <w:pPr>
        <w:spacing w:after="0" w:line="240" w:lineRule="auto"/>
        <w:jc w:val="both"/>
        <w:rPr>
          <w:rFonts w:ascii="Arial" w:hAnsi="Arial" w:cs="Arial"/>
          <w:color w:val="000000"/>
          <w:lang w:val="es-CO"/>
        </w:rPr>
      </w:pPr>
      <w:r>
        <w:rPr>
          <w:rFonts w:ascii="Arial" w:hAnsi="Arial" w:cs="Arial"/>
          <w:color w:val="000000"/>
          <w:lang w:val="es-CO"/>
        </w:rPr>
        <w:t xml:space="preserve">Por otra parte, en lo relativo a la vigencia de la norma, la Corte Constitucional manifestó, en sentencia C-654 de 2015, </w:t>
      </w:r>
      <w:r w:rsidRPr="00B7217C">
        <w:rPr>
          <w:rFonts w:ascii="Arial" w:hAnsi="Arial" w:cs="Arial"/>
          <w:color w:val="000000"/>
          <w:lang w:val="es-CO"/>
        </w:rPr>
        <w:t xml:space="preserve">que la entrada en </w:t>
      </w:r>
      <w:r>
        <w:rPr>
          <w:rFonts w:ascii="Arial" w:hAnsi="Arial" w:cs="Arial"/>
          <w:color w:val="000000"/>
          <w:lang w:val="es-CO"/>
        </w:rPr>
        <w:t>vigor</w:t>
      </w:r>
      <w:r w:rsidRPr="00B7217C">
        <w:rPr>
          <w:rFonts w:ascii="Arial" w:hAnsi="Arial" w:cs="Arial"/>
          <w:color w:val="000000"/>
          <w:lang w:val="es-CO"/>
        </w:rPr>
        <w:t xml:space="preserve"> de las normas se produce únicamente como resultado de una decisión tomada discrecionalmente por quien tiene la competencia para hacerlas, esto es, el mismo </w:t>
      </w:r>
      <w:r w:rsidR="00097D15">
        <w:rPr>
          <w:rFonts w:ascii="Arial" w:hAnsi="Arial" w:cs="Arial"/>
          <w:color w:val="000000"/>
          <w:lang w:val="es-CO"/>
        </w:rPr>
        <w:t>L</w:t>
      </w:r>
      <w:r w:rsidRPr="00B7217C">
        <w:rPr>
          <w:rFonts w:ascii="Arial" w:hAnsi="Arial" w:cs="Arial"/>
          <w:color w:val="000000"/>
          <w:lang w:val="es-CO"/>
        </w:rPr>
        <w:t>egislador</w:t>
      </w:r>
      <w:r>
        <w:rPr>
          <w:rFonts w:ascii="Arial" w:hAnsi="Arial" w:cs="Arial"/>
          <w:color w:val="000000"/>
          <w:lang w:val="es-CO"/>
        </w:rPr>
        <w:t xml:space="preserve">. Sobre este punto, en la sentencia </w:t>
      </w:r>
      <w:r w:rsidR="00097D15">
        <w:rPr>
          <w:rFonts w:ascii="Arial" w:hAnsi="Arial" w:cs="Arial"/>
          <w:color w:val="000000"/>
          <w:lang w:val="es-CO"/>
        </w:rPr>
        <w:t>precitada</w:t>
      </w:r>
      <w:r>
        <w:rPr>
          <w:rFonts w:ascii="Arial" w:hAnsi="Arial" w:cs="Arial"/>
          <w:color w:val="000000"/>
          <w:lang w:val="es-CO"/>
        </w:rPr>
        <w:t xml:space="preserve"> la Corte señaló: </w:t>
      </w:r>
    </w:p>
    <w:p w14:paraId="785E937F" w14:textId="77777777" w:rsidR="00CB3921" w:rsidRDefault="00CB3921" w:rsidP="00CB3921">
      <w:pPr>
        <w:spacing w:after="0" w:line="240" w:lineRule="auto"/>
        <w:jc w:val="both"/>
        <w:rPr>
          <w:rFonts w:ascii="Arial" w:hAnsi="Arial" w:cs="Arial"/>
          <w:color w:val="000000"/>
          <w:lang w:val="es-CO"/>
        </w:rPr>
      </w:pPr>
    </w:p>
    <w:p w14:paraId="5F4D6539" w14:textId="77777777" w:rsidR="00CB3921" w:rsidRPr="008C2B41" w:rsidRDefault="00CB3921" w:rsidP="00CB3921">
      <w:pPr>
        <w:spacing w:after="0" w:line="240" w:lineRule="auto"/>
        <w:ind w:left="708"/>
        <w:jc w:val="both"/>
        <w:rPr>
          <w:rFonts w:ascii="Arial" w:hAnsi="Arial" w:cs="Arial"/>
          <w:i/>
          <w:color w:val="000000"/>
          <w:lang w:val="es-CO"/>
        </w:rPr>
      </w:pPr>
      <w:r w:rsidRPr="008C2B41">
        <w:rPr>
          <w:rFonts w:ascii="Arial" w:hAnsi="Arial" w:cs="Arial"/>
          <w:i/>
          <w:color w:val="000000"/>
          <w:lang w:val="es-CO"/>
        </w:rPr>
        <w:t xml:space="preserve">“En reiterada y consistente jurisprudencia ha señalado esta corporación que, dada la ausencia de norma constitucional que regule el tema, </w:t>
      </w:r>
      <w:r w:rsidRPr="00DD0064">
        <w:rPr>
          <w:rFonts w:ascii="Arial" w:hAnsi="Arial" w:cs="Arial"/>
          <w:b/>
          <w:i/>
          <w:color w:val="000000"/>
          <w:lang w:val="es-CO"/>
        </w:rPr>
        <w:t xml:space="preserve">la determinación acerca de la fecha de </w:t>
      </w:r>
      <w:proofErr w:type="gramStart"/>
      <w:r w:rsidRPr="00DD0064">
        <w:rPr>
          <w:rFonts w:ascii="Arial" w:hAnsi="Arial" w:cs="Arial"/>
          <w:b/>
          <w:i/>
          <w:color w:val="000000"/>
          <w:lang w:val="es-CO"/>
        </w:rPr>
        <w:t>entrada en vigencia</w:t>
      </w:r>
      <w:proofErr w:type="gramEnd"/>
      <w:r w:rsidRPr="00DD0064">
        <w:rPr>
          <w:rFonts w:ascii="Arial" w:hAnsi="Arial" w:cs="Arial"/>
          <w:b/>
          <w:i/>
          <w:color w:val="000000"/>
          <w:lang w:val="es-CO"/>
        </w:rPr>
        <w:t xml:space="preserve"> de una ley es un asunto que compete de manera privativa al legislador, frente a lo cual no resulta posible que el juez constitucional u otra autoridad cuestionen el sentido de su decisión</w:t>
      </w:r>
      <w:r w:rsidRPr="008C2B41">
        <w:rPr>
          <w:rFonts w:ascii="Arial" w:hAnsi="Arial" w:cs="Arial"/>
          <w:i/>
          <w:color w:val="000000"/>
          <w:lang w:val="es-CO"/>
        </w:rPr>
        <w:t>.</w:t>
      </w:r>
    </w:p>
    <w:p w14:paraId="37311FBD" w14:textId="77777777" w:rsidR="00CB3921" w:rsidRPr="008C2B41" w:rsidRDefault="00CB3921" w:rsidP="00CB3921">
      <w:pPr>
        <w:spacing w:after="0" w:line="240" w:lineRule="auto"/>
        <w:ind w:left="708"/>
        <w:jc w:val="both"/>
        <w:rPr>
          <w:rFonts w:ascii="Arial" w:hAnsi="Arial" w:cs="Arial"/>
          <w:i/>
          <w:color w:val="000000"/>
          <w:lang w:val="es-CO"/>
        </w:rPr>
      </w:pPr>
      <w:r w:rsidRPr="008C2B41">
        <w:rPr>
          <w:rFonts w:ascii="Arial" w:hAnsi="Arial" w:cs="Arial"/>
          <w:i/>
          <w:color w:val="000000"/>
          <w:lang w:val="es-CO"/>
        </w:rPr>
        <w:t xml:space="preserve"> </w:t>
      </w:r>
    </w:p>
    <w:p w14:paraId="729B5BF1" w14:textId="77777777" w:rsidR="00CB3921" w:rsidRPr="008C2B41" w:rsidRDefault="00CB3921" w:rsidP="00CB3921">
      <w:pPr>
        <w:spacing w:after="0" w:line="240" w:lineRule="auto"/>
        <w:ind w:left="709"/>
        <w:jc w:val="both"/>
        <w:rPr>
          <w:rFonts w:ascii="Arial" w:hAnsi="Arial" w:cs="Arial"/>
          <w:i/>
          <w:color w:val="000000"/>
          <w:lang w:val="es-CO"/>
        </w:rPr>
      </w:pPr>
      <w:r w:rsidRPr="008C2B41">
        <w:rPr>
          <w:rFonts w:ascii="Arial" w:hAnsi="Arial" w:cs="Arial"/>
          <w:i/>
          <w:color w:val="000000"/>
          <w:lang w:val="es-CO"/>
        </w:rPr>
        <w:t xml:space="preserve">En efecto, tanto como corresponde al legislador decidir acerca del contenido y alcance de las normas que adoptará en desarrollo de sus competencias, así como sobre los destinatarios de </w:t>
      </w:r>
      <w:proofErr w:type="gramStart"/>
      <w:r w:rsidRPr="008C2B41">
        <w:rPr>
          <w:rFonts w:ascii="Arial" w:hAnsi="Arial" w:cs="Arial"/>
          <w:i/>
          <w:color w:val="000000"/>
          <w:lang w:val="es-CO"/>
        </w:rPr>
        <w:t>las mismas</w:t>
      </w:r>
      <w:proofErr w:type="gramEnd"/>
      <w:r w:rsidRPr="008C2B41">
        <w:rPr>
          <w:rFonts w:ascii="Arial" w:hAnsi="Arial" w:cs="Arial"/>
          <w:i/>
          <w:color w:val="000000"/>
          <w:lang w:val="es-CO"/>
        </w:rPr>
        <w:t xml:space="preserve">, es también potestad suya determinar la fecha de entrada en vigencia de sus mandatos. Esta decisión suele tomarse a partir de criterios tales como la extensión y complejidad de la norma aprobada, la necesidad o no de que la sociedad y los operadores jurídicos la conozcan suficientemente antes de comenzar su aplicación, y en general, los análisis de conveniencia y </w:t>
      </w:r>
      <w:r w:rsidRPr="008C2B41">
        <w:rPr>
          <w:rFonts w:ascii="Arial" w:hAnsi="Arial" w:cs="Arial"/>
          <w:i/>
          <w:color w:val="000000"/>
          <w:lang w:val="es-CO"/>
        </w:rPr>
        <w:lastRenderedPageBreak/>
        <w:t>oportunidad, que en cuanto representante de la sociedad y de sus distintos int</w:t>
      </w:r>
      <w:r>
        <w:rPr>
          <w:rFonts w:ascii="Arial" w:hAnsi="Arial" w:cs="Arial"/>
          <w:i/>
          <w:color w:val="000000"/>
          <w:lang w:val="es-CO"/>
        </w:rPr>
        <w:t>ereses le corresponde realizar.</w:t>
      </w:r>
    </w:p>
    <w:p w14:paraId="4D2314ED" w14:textId="77777777" w:rsidR="00CB3921" w:rsidRPr="008C2B41" w:rsidRDefault="00CB3921" w:rsidP="00CB3921">
      <w:pPr>
        <w:spacing w:after="0" w:line="240" w:lineRule="auto"/>
        <w:ind w:left="708"/>
        <w:jc w:val="both"/>
        <w:rPr>
          <w:rFonts w:ascii="Arial" w:hAnsi="Arial" w:cs="Arial"/>
          <w:i/>
          <w:color w:val="000000"/>
          <w:lang w:val="es-CO"/>
        </w:rPr>
      </w:pPr>
    </w:p>
    <w:p w14:paraId="55E6A2FC" w14:textId="77777777" w:rsidR="00CB3921" w:rsidRDefault="00CB3921" w:rsidP="00CB3921">
      <w:pPr>
        <w:spacing w:after="0" w:line="240" w:lineRule="auto"/>
        <w:ind w:left="708"/>
        <w:jc w:val="both"/>
        <w:rPr>
          <w:rFonts w:ascii="Arial" w:hAnsi="Arial" w:cs="Arial"/>
          <w:i/>
          <w:color w:val="000000"/>
          <w:lang w:val="es-CO"/>
        </w:rPr>
      </w:pPr>
      <w:r w:rsidRPr="008C2B41">
        <w:rPr>
          <w:rFonts w:ascii="Arial" w:hAnsi="Arial" w:cs="Arial"/>
          <w:i/>
          <w:color w:val="000000"/>
          <w:lang w:val="es-CO"/>
        </w:rPr>
        <w:t xml:space="preserve">Dentro de esta autonomía, el legislador puede adoptar cualesquiera reglas de </w:t>
      </w:r>
      <w:proofErr w:type="gramStart"/>
      <w:r w:rsidRPr="008C2B41">
        <w:rPr>
          <w:rFonts w:ascii="Arial" w:hAnsi="Arial" w:cs="Arial"/>
          <w:i/>
          <w:color w:val="000000"/>
          <w:lang w:val="es-CO"/>
        </w:rPr>
        <w:t>entrada en vigencia</w:t>
      </w:r>
      <w:proofErr w:type="gramEnd"/>
      <w:r w:rsidRPr="008C2B41">
        <w:rPr>
          <w:rFonts w:ascii="Arial" w:hAnsi="Arial" w:cs="Arial"/>
          <w:i/>
          <w:color w:val="000000"/>
          <w:lang w:val="es-CO"/>
        </w:rPr>
        <w:t>, naturalmente siempre que ésta no preceda a la publicación de la ley, lo cual abarca desde que aquélla sea inmediata a la sanción o a la promulgación de la ley, hasta que comience varios meses o años después. También, tal como lo indican los demandantes, puede disponer una vigencia escalonada o fraccionada en el tiempo, para distintos capítulos de la norma o para preceptos específicos. Igualmente, es claro que las reglas sobre la vigencia de la ley no tienen por qué estar necesariamente contenidas en su último artículo (lo cual no es más que una costumbre fuertemente arraigada en nuestra técnica legislativa), pudiendo encontrarse en cualquier otra disposición del cuerpo normativo en cuestión.</w:t>
      </w:r>
    </w:p>
    <w:p w14:paraId="0C07840D" w14:textId="77777777" w:rsidR="00CB3921" w:rsidRDefault="00CB3921" w:rsidP="00CB3921">
      <w:pPr>
        <w:spacing w:after="0" w:line="240" w:lineRule="auto"/>
        <w:ind w:left="708"/>
        <w:jc w:val="both"/>
        <w:rPr>
          <w:rFonts w:ascii="Arial" w:hAnsi="Arial" w:cs="Arial"/>
          <w:i/>
          <w:color w:val="000000"/>
          <w:lang w:val="es-CO"/>
        </w:rPr>
      </w:pPr>
    </w:p>
    <w:p w14:paraId="1761ACC9" w14:textId="77777777" w:rsidR="00CB3921" w:rsidRDefault="00CB3921" w:rsidP="00CB3921">
      <w:pPr>
        <w:spacing w:after="0" w:line="240" w:lineRule="auto"/>
        <w:ind w:left="708"/>
        <w:jc w:val="both"/>
        <w:rPr>
          <w:rFonts w:ascii="Arial" w:hAnsi="Arial" w:cs="Arial"/>
          <w:i/>
          <w:color w:val="000000"/>
          <w:lang w:val="es-CO"/>
        </w:rPr>
      </w:pPr>
      <w:r w:rsidRPr="00E47C21">
        <w:rPr>
          <w:rFonts w:ascii="Arial" w:hAnsi="Arial" w:cs="Arial"/>
          <w:i/>
          <w:color w:val="000000"/>
          <w:lang w:val="es-CO"/>
        </w:rPr>
        <w:t xml:space="preserve">Por último, existen normas legales de carácter supletivo que determinan la </w:t>
      </w:r>
      <w:proofErr w:type="gramStart"/>
      <w:r w:rsidRPr="00E47C21">
        <w:rPr>
          <w:rFonts w:ascii="Arial" w:hAnsi="Arial" w:cs="Arial"/>
          <w:i/>
          <w:color w:val="000000"/>
          <w:lang w:val="es-CO"/>
        </w:rPr>
        <w:t>entrada en vigencia</w:t>
      </w:r>
      <w:proofErr w:type="gramEnd"/>
      <w:r w:rsidRPr="00E47C21">
        <w:rPr>
          <w:rFonts w:ascii="Arial" w:hAnsi="Arial" w:cs="Arial"/>
          <w:i/>
          <w:color w:val="000000"/>
          <w:lang w:val="es-CO"/>
        </w:rPr>
        <w:t xml:space="preserve"> de la ley a falta de una precisa indicación del legislador dentro del texto de aquella. Conforme a estas reglas la observancia de la ley comienza pasados dos meses de</w:t>
      </w:r>
      <w:r>
        <w:rPr>
          <w:rFonts w:ascii="Arial" w:hAnsi="Arial" w:cs="Arial"/>
          <w:i/>
          <w:color w:val="000000"/>
          <w:lang w:val="es-CO"/>
        </w:rPr>
        <w:t>sde la fecha de la promulgación</w:t>
      </w:r>
      <w:r w:rsidRPr="00E47C21">
        <w:rPr>
          <w:rFonts w:ascii="Arial" w:hAnsi="Arial" w:cs="Arial"/>
          <w:i/>
          <w:color w:val="000000"/>
          <w:lang w:val="es-CO"/>
        </w:rPr>
        <w:t>”</w:t>
      </w:r>
      <w:r>
        <w:rPr>
          <w:rFonts w:ascii="Arial" w:hAnsi="Arial" w:cs="Arial"/>
          <w:i/>
          <w:color w:val="000000"/>
          <w:lang w:val="es-CO"/>
        </w:rPr>
        <w:t>.</w:t>
      </w:r>
    </w:p>
    <w:p w14:paraId="1F91DACE" w14:textId="77777777" w:rsidR="00CB3921" w:rsidRDefault="00CB3921" w:rsidP="00CB3921">
      <w:pPr>
        <w:spacing w:after="0" w:line="240" w:lineRule="auto"/>
        <w:ind w:left="708"/>
        <w:jc w:val="both"/>
        <w:rPr>
          <w:rFonts w:ascii="Arial" w:hAnsi="Arial" w:cs="Arial"/>
          <w:i/>
          <w:color w:val="000000"/>
          <w:lang w:val="es-CO"/>
        </w:rPr>
      </w:pPr>
      <w:r>
        <w:rPr>
          <w:rFonts w:ascii="Arial" w:hAnsi="Arial" w:cs="Arial"/>
          <w:i/>
          <w:color w:val="000000"/>
          <w:lang w:val="es-CO"/>
        </w:rPr>
        <w:t>(…)</w:t>
      </w:r>
    </w:p>
    <w:p w14:paraId="3983C8E2" w14:textId="77777777" w:rsidR="00CB3921" w:rsidRPr="00DD0064" w:rsidRDefault="00CB3921" w:rsidP="00CB3921">
      <w:pPr>
        <w:spacing w:after="0" w:line="240" w:lineRule="auto"/>
        <w:ind w:left="708"/>
        <w:jc w:val="both"/>
        <w:rPr>
          <w:rFonts w:ascii="Arial" w:hAnsi="Arial" w:cs="Arial"/>
          <w:b/>
          <w:i/>
          <w:color w:val="000000"/>
          <w:lang w:val="es-CO"/>
        </w:rPr>
      </w:pPr>
      <w:r>
        <w:rPr>
          <w:rFonts w:ascii="Arial" w:hAnsi="Arial" w:cs="Arial"/>
          <w:i/>
          <w:color w:val="000000"/>
          <w:lang w:val="es-CO"/>
        </w:rPr>
        <w:t>1</w:t>
      </w:r>
      <w:r w:rsidRPr="00E47C21">
        <w:rPr>
          <w:rFonts w:ascii="Arial" w:hAnsi="Arial" w:cs="Arial"/>
          <w:i/>
          <w:color w:val="000000"/>
          <w:lang w:val="es-CO"/>
        </w:rPr>
        <w:t>6. En conclusión, se tiene que conforme la jurisprudencia reiterada de la Corte</w:t>
      </w:r>
      <w:r w:rsidRPr="00DD0064">
        <w:rPr>
          <w:rFonts w:ascii="Arial" w:hAnsi="Arial" w:cs="Arial"/>
          <w:b/>
          <w:i/>
          <w:color w:val="000000"/>
          <w:lang w:val="es-CO"/>
        </w:rPr>
        <w:t>, el legislador está investido de una amplia competencia para definir la fórmula de vigencia de las leyes.  Para ello, puede válidamente adoptar diversas modalidades de entrada de vigor, entre ellas de tipo diferido, escalonado, sucesivo o sometida a un plazo o condición específica.  Por ende, lo que exige el principio de reserva de ley sobre la vigencia en comento es que sea el legislador el que defina la fórmula correspondiente, dentro de un variado grupo de alternativas de técnica legislativa</w:t>
      </w:r>
      <w:r>
        <w:rPr>
          <w:rFonts w:ascii="Arial" w:hAnsi="Arial" w:cs="Arial"/>
          <w:i/>
          <w:color w:val="000000"/>
          <w:lang w:val="es-CO"/>
        </w:rPr>
        <w:t>.”</w:t>
      </w:r>
      <w:r w:rsidRPr="00E47C21">
        <w:rPr>
          <w:rFonts w:ascii="Arial" w:hAnsi="Arial" w:cs="Arial"/>
          <w:i/>
          <w:color w:val="000000"/>
          <w:lang w:val="es-CO"/>
        </w:rPr>
        <w:t xml:space="preserve">  </w:t>
      </w:r>
      <w:r w:rsidRPr="00DD0064">
        <w:rPr>
          <w:rFonts w:ascii="Arial" w:hAnsi="Arial" w:cs="Arial"/>
          <w:color w:val="000000"/>
          <w:lang w:val="es-CO"/>
        </w:rPr>
        <w:t>(Negritas fuera del texto)</w:t>
      </w:r>
    </w:p>
    <w:p w14:paraId="0FBE5AD9" w14:textId="77777777" w:rsidR="00CB3921" w:rsidRPr="008C2B41" w:rsidRDefault="00CB3921" w:rsidP="00CB3921">
      <w:pPr>
        <w:spacing w:after="0" w:line="240" w:lineRule="auto"/>
        <w:jc w:val="both"/>
        <w:rPr>
          <w:rFonts w:ascii="Arial" w:hAnsi="Arial" w:cs="Arial"/>
          <w:color w:val="000000"/>
          <w:lang w:val="es-CO"/>
        </w:rPr>
      </w:pPr>
    </w:p>
    <w:p w14:paraId="14AFFB05" w14:textId="5BEE7837" w:rsidR="00CB3921" w:rsidRDefault="009238E2" w:rsidP="00CB3921">
      <w:pPr>
        <w:spacing w:after="0" w:line="240" w:lineRule="auto"/>
        <w:jc w:val="both"/>
        <w:rPr>
          <w:rFonts w:ascii="Arial" w:hAnsi="Arial" w:cs="Arial"/>
          <w:color w:val="000000"/>
          <w:lang w:val="es-CO"/>
        </w:rPr>
      </w:pPr>
      <w:r>
        <w:rPr>
          <w:rFonts w:ascii="Arial" w:hAnsi="Arial" w:cs="Arial"/>
          <w:color w:val="000000"/>
          <w:lang w:val="es-CO"/>
        </w:rPr>
        <w:t>En este orden de ideas</w:t>
      </w:r>
      <w:r w:rsidR="00CB3921">
        <w:rPr>
          <w:rFonts w:ascii="Arial" w:hAnsi="Arial" w:cs="Arial"/>
          <w:color w:val="000000"/>
          <w:lang w:val="es-CO"/>
        </w:rPr>
        <w:t>, si bien la entrada en vigor</w:t>
      </w:r>
      <w:r w:rsidR="00097D15">
        <w:rPr>
          <w:rFonts w:ascii="Arial" w:hAnsi="Arial" w:cs="Arial"/>
          <w:color w:val="000000"/>
          <w:lang w:val="es-CO"/>
        </w:rPr>
        <w:t xml:space="preserve"> de una ley</w:t>
      </w:r>
      <w:r w:rsidR="00CB3921">
        <w:rPr>
          <w:rFonts w:ascii="Arial" w:hAnsi="Arial" w:cs="Arial"/>
          <w:color w:val="000000"/>
          <w:lang w:val="es-CO"/>
        </w:rPr>
        <w:t xml:space="preserve"> debe ser en todo caso posterior a su promulgación, no pueden confundirse estos dos momentos, pues hay normas que, estando publicadas, no están vigentes</w:t>
      </w:r>
      <w:r w:rsidR="009F4626">
        <w:rPr>
          <w:rFonts w:ascii="Arial" w:hAnsi="Arial" w:cs="Arial"/>
          <w:color w:val="000000"/>
          <w:lang w:val="es-CO"/>
        </w:rPr>
        <w:t>,</w:t>
      </w:r>
      <w:r w:rsidR="00CB3921">
        <w:rPr>
          <w:rFonts w:ascii="Arial" w:hAnsi="Arial" w:cs="Arial"/>
          <w:color w:val="000000"/>
          <w:lang w:val="es-CO"/>
        </w:rPr>
        <w:t xml:space="preserve"> bien porque el legislador difirió dicho momento o bien porque omitió pronunciarse al respecto y debe aplicarse de manera supletiva la Ley 4 de 1913. Como un ejemplo claro de esto, deben considerarse aquellas leyes que prevén una entrada en vigor diferida y gradual, como fue el caso del Código General del Proceso; norma que, habiendo sido promulgada, no se encontró vigente sino hasta tiempo después, lo que deja ver que la promulgación no implica la vigencia de una norma y no refleja ninguna voluntad del legislador de su aplicación inmediata.</w:t>
      </w:r>
    </w:p>
    <w:p w14:paraId="3E3DAD88" w14:textId="77777777" w:rsidR="00CB3921" w:rsidRDefault="00CB3921" w:rsidP="00CB3921">
      <w:pPr>
        <w:spacing w:after="0" w:line="240" w:lineRule="auto"/>
        <w:jc w:val="both"/>
        <w:rPr>
          <w:rFonts w:ascii="Arial" w:hAnsi="Arial" w:cs="Arial"/>
          <w:color w:val="000000"/>
          <w:lang w:val="es-CO"/>
        </w:rPr>
      </w:pPr>
    </w:p>
    <w:p w14:paraId="5F371584" w14:textId="77777777" w:rsidR="00CB3921" w:rsidRDefault="00CB3921" w:rsidP="00CB3921">
      <w:pPr>
        <w:spacing w:after="0" w:line="240" w:lineRule="auto"/>
        <w:jc w:val="both"/>
        <w:rPr>
          <w:rFonts w:ascii="Arial" w:hAnsi="Arial" w:cs="Arial"/>
          <w:color w:val="000000"/>
          <w:lang w:val="es-CO"/>
        </w:rPr>
      </w:pPr>
      <w:r>
        <w:rPr>
          <w:rFonts w:ascii="Arial" w:hAnsi="Arial" w:cs="Arial"/>
          <w:color w:val="000000"/>
          <w:lang w:val="es-CO"/>
        </w:rPr>
        <w:t xml:space="preserve">De esta manera, existe jurisprudencia de la Sala Plena Corte Constitucional que prevé que la determinación de la fecha de </w:t>
      </w:r>
      <w:proofErr w:type="gramStart"/>
      <w:r>
        <w:rPr>
          <w:rFonts w:ascii="Arial" w:hAnsi="Arial" w:cs="Arial"/>
          <w:color w:val="000000"/>
          <w:lang w:val="es-CO"/>
        </w:rPr>
        <w:t>entrada en vigencia</w:t>
      </w:r>
      <w:proofErr w:type="gramEnd"/>
      <w:r>
        <w:rPr>
          <w:rFonts w:ascii="Arial" w:hAnsi="Arial" w:cs="Arial"/>
          <w:color w:val="000000"/>
          <w:lang w:val="es-CO"/>
        </w:rPr>
        <w:t xml:space="preserve"> de una norma corresponde de manera exclusiva al legislador, pronunciamientos en los que se ha fundamentado los conceptos previos proferidos por este despacho. </w:t>
      </w:r>
    </w:p>
    <w:p w14:paraId="5F41645C" w14:textId="77777777" w:rsidR="00CB3921" w:rsidRDefault="00CB3921" w:rsidP="00CB3921">
      <w:pPr>
        <w:spacing w:after="0" w:line="240" w:lineRule="auto"/>
        <w:jc w:val="both"/>
        <w:rPr>
          <w:rFonts w:ascii="Arial" w:hAnsi="Arial" w:cs="Arial"/>
          <w:color w:val="000000"/>
          <w:lang w:val="es-CO"/>
        </w:rPr>
      </w:pPr>
    </w:p>
    <w:p w14:paraId="48BC90F3" w14:textId="685CC89D" w:rsidR="005D1345" w:rsidRDefault="00CB3921" w:rsidP="00CB3921">
      <w:pPr>
        <w:spacing w:after="0" w:line="240" w:lineRule="auto"/>
        <w:jc w:val="both"/>
        <w:rPr>
          <w:rFonts w:ascii="Arial" w:hAnsi="Arial" w:cs="Arial"/>
          <w:color w:val="000000"/>
          <w:lang w:val="es-CO"/>
        </w:rPr>
      </w:pPr>
      <w:r>
        <w:rPr>
          <w:rFonts w:ascii="Arial" w:hAnsi="Arial" w:cs="Arial"/>
          <w:color w:val="000000"/>
          <w:lang w:val="es-CO"/>
        </w:rPr>
        <w:t xml:space="preserve">Así las cosas, </w:t>
      </w:r>
      <w:r w:rsidR="00A46BC4">
        <w:rPr>
          <w:rFonts w:ascii="Arial" w:hAnsi="Arial" w:cs="Arial"/>
          <w:color w:val="000000"/>
          <w:lang w:val="es-CO"/>
        </w:rPr>
        <w:t xml:space="preserve">los actos proferidos por la OAJ se sustentaron en </w:t>
      </w:r>
      <w:r>
        <w:rPr>
          <w:rFonts w:ascii="Arial" w:hAnsi="Arial" w:cs="Arial"/>
          <w:color w:val="000000"/>
          <w:lang w:val="es-CO"/>
        </w:rPr>
        <w:t xml:space="preserve">que la providencia de la Sala de Consulta y Servicio Civil tiene un alcance </w:t>
      </w:r>
      <w:proofErr w:type="gramStart"/>
      <w:r>
        <w:rPr>
          <w:rFonts w:ascii="Arial" w:hAnsi="Arial" w:cs="Arial"/>
          <w:i/>
          <w:color w:val="000000"/>
          <w:lang w:val="es-CO"/>
        </w:rPr>
        <w:t>inter partes</w:t>
      </w:r>
      <w:proofErr w:type="gramEnd"/>
      <w:r>
        <w:rPr>
          <w:rFonts w:ascii="Arial" w:hAnsi="Arial" w:cs="Arial"/>
          <w:i/>
          <w:color w:val="000000"/>
          <w:lang w:val="es-CO"/>
        </w:rPr>
        <w:t xml:space="preserve">; </w:t>
      </w:r>
      <w:r>
        <w:rPr>
          <w:rFonts w:ascii="Arial" w:hAnsi="Arial" w:cs="Arial"/>
          <w:color w:val="000000"/>
          <w:lang w:val="es-CO"/>
        </w:rPr>
        <w:t>que dicha competencia, a partir de la expedición de la Ley 1878 de 2018, está en cabeza de los jueces de familia</w:t>
      </w:r>
      <w:r w:rsidR="00097D15">
        <w:rPr>
          <w:rFonts w:ascii="Arial" w:hAnsi="Arial" w:cs="Arial"/>
          <w:color w:val="000000"/>
          <w:lang w:val="es-CO"/>
        </w:rPr>
        <w:t>;</w:t>
      </w:r>
      <w:r>
        <w:rPr>
          <w:rFonts w:ascii="Arial" w:hAnsi="Arial" w:cs="Arial"/>
          <w:color w:val="000000"/>
          <w:lang w:val="es-CO"/>
        </w:rPr>
        <w:t xml:space="preserve"> y</w:t>
      </w:r>
      <w:r w:rsidR="005D1345">
        <w:rPr>
          <w:rFonts w:ascii="Arial" w:hAnsi="Arial" w:cs="Arial"/>
          <w:color w:val="000000"/>
          <w:lang w:val="es-CO"/>
        </w:rPr>
        <w:t xml:space="preserve">, </w:t>
      </w:r>
      <w:r w:rsidR="005D1345">
        <w:rPr>
          <w:rFonts w:ascii="Arial" w:hAnsi="Arial" w:cs="Arial"/>
          <w:color w:val="000000"/>
          <w:lang w:val="es-CO"/>
        </w:rPr>
        <w:lastRenderedPageBreak/>
        <w:t>sobre</w:t>
      </w:r>
      <w:r w:rsidR="00331820">
        <w:rPr>
          <w:rFonts w:ascii="Arial" w:hAnsi="Arial" w:cs="Arial"/>
          <w:color w:val="000000"/>
          <w:lang w:val="es-CO"/>
        </w:rPr>
        <w:t xml:space="preserve"> </w:t>
      </w:r>
      <w:r w:rsidR="005D1345">
        <w:rPr>
          <w:rFonts w:ascii="Arial" w:hAnsi="Arial" w:cs="Arial"/>
          <w:color w:val="000000"/>
          <w:lang w:val="es-CO"/>
        </w:rPr>
        <w:t>todo,</w:t>
      </w:r>
      <w:r>
        <w:rPr>
          <w:rFonts w:ascii="Arial" w:hAnsi="Arial" w:cs="Arial"/>
          <w:color w:val="000000"/>
          <w:lang w:val="es-CO"/>
        </w:rPr>
        <w:t xml:space="preserve"> que existe jurisprudencia de la Corte Constitucional que indica que la única autoridad encargada de señalar la vigencia de una norma es el Congreso de la República.</w:t>
      </w:r>
    </w:p>
    <w:p w14:paraId="0E6934B4" w14:textId="77777777" w:rsidR="005D1345" w:rsidRDefault="005D1345" w:rsidP="00CB3921">
      <w:pPr>
        <w:spacing w:after="0" w:line="240" w:lineRule="auto"/>
        <w:jc w:val="both"/>
        <w:rPr>
          <w:rFonts w:ascii="Arial" w:hAnsi="Arial" w:cs="Arial"/>
          <w:color w:val="000000"/>
          <w:lang w:val="es-CO"/>
        </w:rPr>
      </w:pPr>
    </w:p>
    <w:p w14:paraId="6E766B36" w14:textId="587BD03E" w:rsidR="00B14651" w:rsidRPr="00805189" w:rsidRDefault="005D1345" w:rsidP="00CB3921">
      <w:pPr>
        <w:spacing w:after="0" w:line="240" w:lineRule="auto"/>
        <w:jc w:val="both"/>
        <w:rPr>
          <w:rFonts w:ascii="Arial" w:hAnsi="Arial" w:cs="Arial"/>
          <w:color w:val="000000"/>
          <w:lang w:val="es-CO"/>
        </w:rPr>
      </w:pPr>
      <w:r>
        <w:rPr>
          <w:rFonts w:ascii="Arial" w:hAnsi="Arial" w:cs="Arial"/>
          <w:color w:val="000000"/>
          <w:lang w:val="es-CO"/>
        </w:rPr>
        <w:t xml:space="preserve">En otras palabras, </w:t>
      </w:r>
      <w:r w:rsidR="00A46BC4">
        <w:rPr>
          <w:rFonts w:ascii="Arial" w:hAnsi="Arial" w:cs="Arial"/>
          <w:color w:val="000000"/>
          <w:lang w:val="es-CO"/>
        </w:rPr>
        <w:t xml:space="preserve">el </w:t>
      </w:r>
      <w:r w:rsidR="00097D15">
        <w:rPr>
          <w:rFonts w:ascii="Arial" w:hAnsi="Arial" w:cs="Arial"/>
          <w:color w:val="000000"/>
          <w:lang w:val="es-CO"/>
        </w:rPr>
        <w:t>criterio de esta oficina</w:t>
      </w:r>
      <w:r w:rsidR="00A46BC4">
        <w:rPr>
          <w:rFonts w:ascii="Arial" w:hAnsi="Arial" w:cs="Arial"/>
          <w:color w:val="000000"/>
          <w:lang w:val="es-CO"/>
        </w:rPr>
        <w:t xml:space="preserve"> fue que conforme a </w:t>
      </w:r>
      <w:r w:rsidR="0065166B">
        <w:rPr>
          <w:rFonts w:ascii="Arial" w:hAnsi="Arial" w:cs="Arial"/>
          <w:color w:val="000000"/>
          <w:lang w:val="es-CO"/>
        </w:rPr>
        <w:t xml:space="preserve">lo dispuesto </w:t>
      </w:r>
      <w:r w:rsidR="00097D15">
        <w:rPr>
          <w:rFonts w:ascii="Arial" w:hAnsi="Arial" w:cs="Arial"/>
          <w:color w:val="000000"/>
          <w:lang w:val="es-CO"/>
        </w:rPr>
        <w:t xml:space="preserve">en </w:t>
      </w:r>
      <w:r w:rsidR="0065166B">
        <w:rPr>
          <w:rFonts w:ascii="Arial" w:hAnsi="Arial" w:cs="Arial"/>
          <w:color w:val="000000"/>
          <w:lang w:val="es-CO"/>
        </w:rPr>
        <w:t>la</w:t>
      </w:r>
      <w:r w:rsidR="00097D15">
        <w:rPr>
          <w:rFonts w:ascii="Arial" w:hAnsi="Arial" w:cs="Arial"/>
          <w:color w:val="000000"/>
          <w:lang w:val="es-CO"/>
        </w:rPr>
        <w:t xml:space="preserve"> ley y lo señalado por la</w:t>
      </w:r>
      <w:r w:rsidR="0065166B">
        <w:rPr>
          <w:rFonts w:ascii="Arial" w:hAnsi="Arial" w:cs="Arial"/>
          <w:color w:val="000000"/>
          <w:lang w:val="es-CO"/>
        </w:rPr>
        <w:t xml:space="preserve"> Corte Constitucional, </w:t>
      </w:r>
      <w:r w:rsidR="00A46BC4">
        <w:rPr>
          <w:rFonts w:ascii="Arial" w:hAnsi="Arial" w:cs="Arial"/>
          <w:color w:val="000000"/>
          <w:lang w:val="es-CO"/>
        </w:rPr>
        <w:t xml:space="preserve">se infería </w:t>
      </w:r>
      <w:r w:rsidR="00961A0E">
        <w:rPr>
          <w:rFonts w:ascii="Arial" w:hAnsi="Arial" w:cs="Arial"/>
          <w:color w:val="000000"/>
          <w:lang w:val="es-CO"/>
        </w:rPr>
        <w:t xml:space="preserve">que </w:t>
      </w:r>
      <w:r w:rsidR="00B14651">
        <w:rPr>
          <w:rFonts w:ascii="Arial" w:hAnsi="Arial" w:cs="Arial"/>
          <w:color w:val="000000"/>
          <w:lang w:val="es-CO"/>
        </w:rPr>
        <w:t>la obligatoriedad y oponibilidad de la Ley 1878 inici</w:t>
      </w:r>
      <w:r w:rsidR="00A46BC4">
        <w:rPr>
          <w:rFonts w:ascii="Arial" w:hAnsi="Arial" w:cs="Arial"/>
          <w:color w:val="000000"/>
          <w:lang w:val="es-CO"/>
        </w:rPr>
        <w:t>ó</w:t>
      </w:r>
      <w:r w:rsidR="00B14651">
        <w:rPr>
          <w:rFonts w:ascii="Arial" w:hAnsi="Arial" w:cs="Arial"/>
          <w:color w:val="000000"/>
          <w:lang w:val="es-CO"/>
        </w:rPr>
        <w:t xml:space="preserve"> dos meses después de su promulgación, es decir, </w:t>
      </w:r>
      <w:r w:rsidR="00B14651" w:rsidRPr="00097D15">
        <w:rPr>
          <w:rFonts w:ascii="Arial" w:hAnsi="Arial" w:cs="Arial"/>
          <w:b/>
          <w:bCs/>
          <w:color w:val="000000"/>
          <w:lang w:val="es-CO"/>
        </w:rPr>
        <w:t>el 9 de marzo de 2018</w:t>
      </w:r>
      <w:r w:rsidR="00B14651">
        <w:rPr>
          <w:rFonts w:ascii="Arial" w:hAnsi="Arial" w:cs="Arial"/>
          <w:color w:val="000000"/>
          <w:lang w:val="es-CO"/>
        </w:rPr>
        <w:t xml:space="preserve">. </w:t>
      </w:r>
    </w:p>
    <w:p w14:paraId="16102C48" w14:textId="77777777" w:rsidR="00CB3921" w:rsidRDefault="00CB3921" w:rsidP="00CB3921">
      <w:pPr>
        <w:spacing w:after="0" w:line="240" w:lineRule="auto"/>
        <w:jc w:val="both"/>
        <w:rPr>
          <w:rFonts w:ascii="Arial" w:hAnsi="Arial" w:cs="Arial"/>
          <w:color w:val="000000"/>
          <w:lang w:val="es-CO"/>
        </w:rPr>
      </w:pPr>
      <w:r>
        <w:rPr>
          <w:rFonts w:ascii="Arial" w:hAnsi="Arial" w:cs="Arial"/>
          <w:color w:val="000000"/>
          <w:lang w:val="es-CO"/>
        </w:rPr>
        <w:t xml:space="preserve"> </w:t>
      </w:r>
    </w:p>
    <w:p w14:paraId="5E9629D3" w14:textId="77777777" w:rsidR="00CB3921" w:rsidRDefault="00CB3921" w:rsidP="00CB3921">
      <w:pPr>
        <w:tabs>
          <w:tab w:val="left" w:pos="2694"/>
          <w:tab w:val="left" w:pos="6305"/>
        </w:tabs>
        <w:spacing w:after="0" w:line="240" w:lineRule="auto"/>
        <w:jc w:val="both"/>
        <w:rPr>
          <w:rFonts w:ascii="Arial" w:hAnsi="Arial" w:cs="Arial"/>
        </w:rPr>
      </w:pPr>
      <w:r>
        <w:rPr>
          <w:rFonts w:ascii="Arial" w:hAnsi="Arial" w:cs="Arial"/>
        </w:rPr>
        <w:t xml:space="preserve">Cordialmente, </w:t>
      </w:r>
    </w:p>
    <w:p w14:paraId="41CF765E" w14:textId="77777777" w:rsidR="00CB3921" w:rsidRPr="005672F8" w:rsidRDefault="00CB3921" w:rsidP="00CB3921">
      <w:pPr>
        <w:spacing w:after="0" w:line="240" w:lineRule="auto"/>
        <w:jc w:val="both"/>
        <w:rPr>
          <w:rFonts w:ascii="Arial" w:hAnsi="Arial" w:cs="Arial"/>
          <w:color w:val="000000"/>
        </w:rPr>
      </w:pPr>
    </w:p>
    <w:p w14:paraId="4EFCD182" w14:textId="77777777" w:rsidR="00CB3921" w:rsidRPr="00F41A8B" w:rsidRDefault="00CB3921" w:rsidP="00CB3921">
      <w:pPr>
        <w:spacing w:after="0" w:line="240" w:lineRule="auto"/>
        <w:ind w:right="-93"/>
        <w:jc w:val="both"/>
        <w:rPr>
          <w:rFonts w:ascii="Arial" w:hAnsi="Arial" w:cs="Arial"/>
          <w:color w:val="000000"/>
        </w:rPr>
      </w:pPr>
    </w:p>
    <w:p w14:paraId="53FE4E81" w14:textId="77777777" w:rsidR="00CB3921" w:rsidRPr="00687064" w:rsidRDefault="00CB3921" w:rsidP="00CB3921">
      <w:pPr>
        <w:tabs>
          <w:tab w:val="left" w:pos="5415"/>
          <w:tab w:val="left" w:pos="6305"/>
        </w:tabs>
        <w:spacing w:after="0" w:line="240" w:lineRule="auto"/>
        <w:contextualSpacing/>
        <w:jc w:val="both"/>
        <w:rPr>
          <w:rFonts w:ascii="Arial" w:hAnsi="Arial" w:cs="Arial"/>
          <w:bCs/>
          <w:color w:val="000000"/>
        </w:rPr>
      </w:pPr>
    </w:p>
    <w:p w14:paraId="5E168261" w14:textId="77777777" w:rsidR="00CB3921" w:rsidRPr="00687064" w:rsidRDefault="00CB3921" w:rsidP="00CB3921">
      <w:pPr>
        <w:spacing w:after="0" w:line="240" w:lineRule="auto"/>
        <w:ind w:left="1416" w:hanging="1416"/>
        <w:jc w:val="both"/>
        <w:rPr>
          <w:rFonts w:ascii="Arial" w:hAnsi="Arial" w:cs="Arial"/>
          <w:bCs/>
          <w:color w:val="000000"/>
        </w:rPr>
      </w:pPr>
    </w:p>
    <w:p w14:paraId="2094A313" w14:textId="4D83629C" w:rsidR="00CB3921" w:rsidRPr="00687064" w:rsidRDefault="00A46BC4" w:rsidP="00CB3921">
      <w:pPr>
        <w:spacing w:after="0" w:line="240" w:lineRule="auto"/>
        <w:jc w:val="center"/>
        <w:rPr>
          <w:rFonts w:ascii="Arial" w:hAnsi="Arial" w:cs="Arial"/>
          <w:b/>
          <w:color w:val="000000"/>
          <w:lang w:eastAsia="zh-CN" w:bidi="hi-IN"/>
        </w:rPr>
      </w:pPr>
      <w:r>
        <w:rPr>
          <w:rFonts w:ascii="Arial" w:hAnsi="Arial" w:cs="Arial"/>
          <w:b/>
          <w:color w:val="000000"/>
          <w:lang w:eastAsia="zh-CN" w:bidi="hi-IN"/>
        </w:rPr>
        <w:t>É</w:t>
      </w:r>
      <w:r w:rsidR="00592AC5">
        <w:rPr>
          <w:rFonts w:ascii="Arial" w:hAnsi="Arial" w:cs="Arial"/>
          <w:b/>
          <w:color w:val="000000"/>
          <w:lang w:eastAsia="zh-CN" w:bidi="hi-IN"/>
        </w:rPr>
        <w:t>DGAR LEONARDO BOJACÁ CASTRO</w:t>
      </w:r>
    </w:p>
    <w:p w14:paraId="52949371" w14:textId="766D486D" w:rsidR="000C48FF" w:rsidRPr="000C48FF" w:rsidRDefault="000C48FF" w:rsidP="000C48FF">
      <w:pPr>
        <w:tabs>
          <w:tab w:val="left" w:pos="6098"/>
        </w:tabs>
        <w:rPr>
          <w:rFonts w:ascii="Arial" w:hAnsi="Arial" w:cs="Arial"/>
        </w:rPr>
      </w:pPr>
    </w:p>
    <w:sectPr w:rsidR="000C48FF" w:rsidRPr="000C48FF">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5B5B" w14:textId="77777777" w:rsidR="004012F6" w:rsidRDefault="004012F6" w:rsidP="00DD51DD">
      <w:pPr>
        <w:spacing w:after="0" w:line="240" w:lineRule="auto"/>
      </w:pPr>
      <w:r>
        <w:separator/>
      </w:r>
    </w:p>
  </w:endnote>
  <w:endnote w:type="continuationSeparator" w:id="0">
    <w:p w14:paraId="0F9F2B8E" w14:textId="77777777" w:rsidR="004012F6" w:rsidRDefault="004012F6"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255D8330" w:rsidR="000C48FF" w:rsidRPr="00BC0789" w:rsidRDefault="00D56282"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255D8330" w:rsidR="000C48FF" w:rsidRPr="00BC0789" w:rsidRDefault="00D56282"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CB8D" w14:textId="77777777" w:rsidR="004012F6" w:rsidRDefault="004012F6" w:rsidP="00DD51DD">
      <w:pPr>
        <w:spacing w:after="0" w:line="240" w:lineRule="auto"/>
      </w:pPr>
      <w:r>
        <w:separator/>
      </w:r>
    </w:p>
  </w:footnote>
  <w:footnote w:type="continuationSeparator" w:id="0">
    <w:p w14:paraId="32B8B28E" w14:textId="77777777" w:rsidR="004012F6" w:rsidRDefault="004012F6" w:rsidP="00DD51DD">
      <w:pPr>
        <w:spacing w:after="0" w:line="240" w:lineRule="auto"/>
      </w:pPr>
      <w:r>
        <w:continuationSeparator/>
      </w:r>
    </w:p>
  </w:footnote>
  <w:footnote w:id="1">
    <w:p w14:paraId="353AB8B3" w14:textId="7362E4E3" w:rsidR="00023405" w:rsidRPr="00331820" w:rsidRDefault="00023405" w:rsidP="00451673">
      <w:pPr>
        <w:pStyle w:val="Textonotapie"/>
        <w:spacing w:after="0" w:line="240" w:lineRule="auto"/>
        <w:jc w:val="both"/>
        <w:rPr>
          <w:rFonts w:ascii="Arial" w:hAnsi="Arial" w:cs="Arial"/>
          <w:sz w:val="18"/>
          <w:szCs w:val="18"/>
        </w:rPr>
      </w:pPr>
      <w:r w:rsidRPr="00331820">
        <w:rPr>
          <w:rStyle w:val="Refdenotaalpie"/>
          <w:rFonts w:ascii="Arial" w:hAnsi="Arial" w:cs="Arial"/>
          <w:sz w:val="18"/>
          <w:szCs w:val="18"/>
        </w:rPr>
        <w:footnoteRef/>
      </w:r>
      <w:r w:rsidRPr="00331820">
        <w:rPr>
          <w:rFonts w:ascii="Arial" w:hAnsi="Arial" w:cs="Arial"/>
          <w:sz w:val="18"/>
          <w:szCs w:val="18"/>
        </w:rPr>
        <w:t xml:space="preserve"> Sala de Consulta y Servicio Civil del Consejo de Estado. Decisión de 4 de julio d</w:t>
      </w:r>
      <w:r w:rsidR="003B53B8" w:rsidRPr="00331820">
        <w:rPr>
          <w:rFonts w:ascii="Arial" w:hAnsi="Arial" w:cs="Arial"/>
          <w:sz w:val="18"/>
          <w:szCs w:val="18"/>
        </w:rPr>
        <w:t xml:space="preserve">e </w:t>
      </w:r>
      <w:r w:rsidRPr="00331820">
        <w:rPr>
          <w:rFonts w:ascii="Arial" w:hAnsi="Arial" w:cs="Arial"/>
          <w:sz w:val="18"/>
          <w:szCs w:val="18"/>
        </w:rPr>
        <w:t>2019</w:t>
      </w:r>
      <w:r w:rsidR="0076695D" w:rsidRPr="00331820">
        <w:rPr>
          <w:rFonts w:ascii="Arial" w:hAnsi="Arial" w:cs="Arial"/>
          <w:sz w:val="18"/>
          <w:szCs w:val="18"/>
        </w:rPr>
        <w:t xml:space="preserve">. </w:t>
      </w:r>
      <w:r w:rsidR="0084028F" w:rsidRPr="00331820">
        <w:rPr>
          <w:rFonts w:ascii="Arial" w:hAnsi="Arial" w:cs="Arial"/>
          <w:sz w:val="18"/>
          <w:szCs w:val="18"/>
        </w:rPr>
        <w:t>Consejero Ponente, Édgar González López</w:t>
      </w:r>
      <w:r w:rsidR="0076695D" w:rsidRPr="00331820">
        <w:rPr>
          <w:rFonts w:ascii="Arial" w:hAnsi="Arial" w:cs="Arial"/>
          <w:sz w:val="18"/>
          <w:szCs w:val="18"/>
        </w:rPr>
        <w:t>, radicado 11001-03-06-000-2019-00062-00(C)</w:t>
      </w:r>
      <w:r w:rsidR="003B53B8" w:rsidRPr="00331820">
        <w:rPr>
          <w:rFonts w:ascii="Arial" w:hAnsi="Arial" w:cs="Arial"/>
          <w:sz w:val="18"/>
          <w:szCs w:val="18"/>
        </w:rPr>
        <w:t xml:space="preserve">. Resolución de conflicto de competencias. </w:t>
      </w:r>
    </w:p>
  </w:footnote>
  <w:footnote w:id="2">
    <w:p w14:paraId="59778871" w14:textId="2F2362C2" w:rsidR="00A6331D" w:rsidRPr="00331820" w:rsidRDefault="00A6331D" w:rsidP="00451673">
      <w:pPr>
        <w:pStyle w:val="Textonotapie"/>
        <w:spacing w:after="0" w:line="240" w:lineRule="auto"/>
        <w:rPr>
          <w:rFonts w:ascii="Arial" w:hAnsi="Arial" w:cs="Arial"/>
          <w:sz w:val="18"/>
          <w:szCs w:val="18"/>
        </w:rPr>
      </w:pPr>
      <w:r w:rsidRPr="00331820">
        <w:rPr>
          <w:rStyle w:val="Refdenotaalpie"/>
          <w:rFonts w:ascii="Arial" w:hAnsi="Arial" w:cs="Arial"/>
          <w:sz w:val="18"/>
          <w:szCs w:val="18"/>
        </w:rPr>
        <w:footnoteRef/>
      </w:r>
      <w:r w:rsidRPr="00331820">
        <w:rPr>
          <w:rFonts w:ascii="Arial" w:hAnsi="Arial" w:cs="Arial"/>
          <w:sz w:val="18"/>
          <w:szCs w:val="18"/>
        </w:rPr>
        <w:t xml:space="preserve"> </w:t>
      </w:r>
      <w:proofErr w:type="spellStart"/>
      <w:r w:rsidRPr="00331820">
        <w:rPr>
          <w:rFonts w:ascii="Arial" w:hAnsi="Arial" w:cs="Arial"/>
          <w:sz w:val="18"/>
          <w:szCs w:val="18"/>
        </w:rPr>
        <w:t>Ibídem</w:t>
      </w:r>
      <w:proofErr w:type="spellEnd"/>
      <w:r w:rsidRPr="00331820">
        <w:rPr>
          <w:rFonts w:ascii="Arial" w:hAnsi="Arial" w:cs="Arial"/>
          <w:sz w:val="18"/>
          <w:szCs w:val="18"/>
        </w:rPr>
        <w:t xml:space="preserve">. </w:t>
      </w:r>
    </w:p>
  </w:footnote>
  <w:footnote w:id="3">
    <w:p w14:paraId="3B0F40C7" w14:textId="77777777" w:rsidR="00CB3921" w:rsidRPr="00331820" w:rsidRDefault="00CB3921" w:rsidP="00451673">
      <w:pPr>
        <w:spacing w:after="0" w:line="240" w:lineRule="auto"/>
        <w:jc w:val="both"/>
        <w:rPr>
          <w:rFonts w:ascii="Arial" w:hAnsi="Arial" w:cs="Arial"/>
          <w:sz w:val="18"/>
          <w:szCs w:val="18"/>
        </w:rPr>
      </w:pPr>
      <w:r w:rsidRPr="00331820">
        <w:rPr>
          <w:rStyle w:val="Refdenotaalpie"/>
          <w:rFonts w:ascii="Arial" w:hAnsi="Arial" w:cs="Arial"/>
          <w:sz w:val="18"/>
          <w:szCs w:val="18"/>
        </w:rPr>
        <w:footnoteRef/>
      </w:r>
      <w:r w:rsidRPr="00331820">
        <w:rPr>
          <w:rFonts w:ascii="Arial" w:hAnsi="Arial" w:cs="Arial"/>
          <w:sz w:val="18"/>
          <w:szCs w:val="18"/>
        </w:rPr>
        <w:t xml:space="preserve"> Con respecto a la expresión “</w:t>
      </w:r>
      <w:r w:rsidRPr="00331820">
        <w:rPr>
          <w:rFonts w:ascii="Arial" w:hAnsi="Arial" w:cs="Arial"/>
          <w:i/>
          <w:sz w:val="18"/>
          <w:szCs w:val="18"/>
        </w:rPr>
        <w:t>a partir de</w:t>
      </w:r>
      <w:r w:rsidRPr="00331820">
        <w:rPr>
          <w:rFonts w:ascii="Arial" w:hAnsi="Arial" w:cs="Arial"/>
          <w:sz w:val="18"/>
          <w:szCs w:val="18"/>
        </w:rPr>
        <w:t>”, la doctrina de la Sala vertida en el Concepto 2360 de 2017, teniendo como base lo dispuesto por el Diccionario de la Lengua Española, significa “</w:t>
      </w:r>
      <w:r w:rsidRPr="00331820">
        <w:rPr>
          <w:rFonts w:ascii="Arial" w:hAnsi="Arial" w:cs="Arial"/>
          <w:i/>
          <w:sz w:val="18"/>
          <w:szCs w:val="18"/>
        </w:rPr>
        <w:t>[t]</w:t>
      </w:r>
      <w:proofErr w:type="spellStart"/>
      <w:r w:rsidRPr="00331820">
        <w:rPr>
          <w:rFonts w:ascii="Arial" w:hAnsi="Arial" w:cs="Arial"/>
          <w:i/>
          <w:sz w:val="18"/>
          <w:szCs w:val="18"/>
        </w:rPr>
        <w:t>omar</w:t>
      </w:r>
      <w:proofErr w:type="spellEnd"/>
      <w:r w:rsidRPr="00331820">
        <w:rPr>
          <w:rFonts w:ascii="Arial" w:hAnsi="Arial" w:cs="Arial"/>
          <w:i/>
          <w:sz w:val="18"/>
          <w:szCs w:val="18"/>
        </w:rPr>
        <w:t xml:space="preserve"> un hecho, </w:t>
      </w:r>
      <w:r w:rsidRPr="00331820">
        <w:rPr>
          <w:rFonts w:ascii="Arial" w:hAnsi="Arial" w:cs="Arial"/>
          <w:i/>
          <w:sz w:val="18"/>
          <w:szCs w:val="18"/>
          <w:u w:val="single"/>
        </w:rPr>
        <w:t>una fecha</w:t>
      </w:r>
      <w:r w:rsidRPr="00331820">
        <w:rPr>
          <w:rFonts w:ascii="Arial" w:hAnsi="Arial" w:cs="Arial"/>
          <w:i/>
          <w:sz w:val="18"/>
          <w:szCs w:val="18"/>
        </w:rPr>
        <w:t xml:space="preserve"> o cualquier otro antecedente </w:t>
      </w:r>
      <w:r w:rsidRPr="00331820">
        <w:rPr>
          <w:rFonts w:ascii="Arial" w:hAnsi="Arial" w:cs="Arial"/>
          <w:i/>
          <w:sz w:val="18"/>
          <w:szCs w:val="18"/>
          <w:u w:val="single"/>
        </w:rPr>
        <w:t>como base</w:t>
      </w:r>
      <w:r w:rsidRPr="00331820">
        <w:rPr>
          <w:rFonts w:ascii="Arial" w:hAnsi="Arial" w:cs="Arial"/>
          <w:i/>
          <w:sz w:val="18"/>
          <w:szCs w:val="18"/>
        </w:rPr>
        <w:t xml:space="preserve"> para un razonamiento </w:t>
      </w:r>
      <w:r w:rsidRPr="00331820">
        <w:rPr>
          <w:rFonts w:ascii="Arial" w:hAnsi="Arial" w:cs="Arial"/>
          <w:i/>
          <w:sz w:val="18"/>
          <w:szCs w:val="18"/>
          <w:u w:val="single"/>
        </w:rPr>
        <w:t>o cómputo</w:t>
      </w:r>
      <w:r w:rsidRPr="00331820">
        <w:rPr>
          <w:rFonts w:ascii="Arial" w:hAnsi="Arial" w:cs="Arial"/>
          <w:sz w:val="18"/>
          <w:szCs w:val="18"/>
        </w:rPr>
        <w:t xml:space="preserve">” (subrayas añadidas). </w:t>
      </w:r>
    </w:p>
  </w:footnote>
  <w:footnote w:id="4">
    <w:p w14:paraId="5334D551" w14:textId="77777777" w:rsidR="00CB3921" w:rsidRPr="00331820" w:rsidRDefault="00CB3921" w:rsidP="00451673">
      <w:pPr>
        <w:pStyle w:val="Textonotapie"/>
        <w:spacing w:after="0" w:line="240" w:lineRule="auto"/>
        <w:rPr>
          <w:rFonts w:ascii="Arial" w:hAnsi="Arial" w:cs="Arial"/>
          <w:sz w:val="18"/>
          <w:szCs w:val="18"/>
          <w:lang w:val="es-CO"/>
        </w:rPr>
      </w:pPr>
      <w:r w:rsidRPr="00331820">
        <w:rPr>
          <w:rStyle w:val="Refdenotaalpie"/>
          <w:rFonts w:ascii="Arial" w:hAnsi="Arial" w:cs="Arial"/>
          <w:sz w:val="18"/>
          <w:szCs w:val="18"/>
        </w:rPr>
        <w:footnoteRef/>
      </w:r>
      <w:r w:rsidRPr="00331820">
        <w:rPr>
          <w:rFonts w:ascii="Arial" w:hAnsi="Arial" w:cs="Arial"/>
          <w:sz w:val="18"/>
          <w:szCs w:val="18"/>
        </w:rPr>
        <w:t xml:space="preserve"> Sentencia C-025/12 </w:t>
      </w:r>
      <w:r w:rsidRPr="00331820">
        <w:rPr>
          <w:rFonts w:ascii="Arial" w:hAnsi="Arial" w:cs="Arial"/>
          <w:sz w:val="18"/>
          <w:szCs w:val="18"/>
          <w:lang w:val="es-ES_tradnl"/>
        </w:rPr>
        <w:t>Magistrado Ponente: MAURICIO GONZÁLEZ CUERVO</w:t>
      </w:r>
    </w:p>
  </w:footnote>
  <w:footnote w:id="5">
    <w:p w14:paraId="2CE85D71" w14:textId="77777777" w:rsidR="00CB3921" w:rsidRPr="00331820" w:rsidRDefault="00CB3921" w:rsidP="00451673">
      <w:pPr>
        <w:pStyle w:val="Textonotapie"/>
        <w:spacing w:after="0" w:line="240" w:lineRule="auto"/>
        <w:rPr>
          <w:rFonts w:ascii="Arial" w:hAnsi="Arial" w:cs="Arial"/>
          <w:sz w:val="18"/>
          <w:szCs w:val="18"/>
          <w:lang w:val="es-CO"/>
        </w:rPr>
      </w:pPr>
      <w:r w:rsidRPr="00331820">
        <w:rPr>
          <w:rStyle w:val="Refdenotaalpie"/>
          <w:rFonts w:ascii="Arial" w:hAnsi="Arial" w:cs="Arial"/>
          <w:sz w:val="18"/>
          <w:szCs w:val="18"/>
        </w:rPr>
        <w:footnoteRef/>
      </w:r>
      <w:r w:rsidRPr="00331820">
        <w:rPr>
          <w:rFonts w:ascii="Arial" w:hAnsi="Arial" w:cs="Arial"/>
          <w:sz w:val="18"/>
          <w:szCs w:val="18"/>
        </w:rPr>
        <w:t xml:space="preserve"> </w:t>
      </w:r>
      <w:r w:rsidRPr="00331820">
        <w:rPr>
          <w:rFonts w:ascii="Arial" w:hAnsi="Arial" w:cs="Arial"/>
          <w:sz w:val="18"/>
          <w:szCs w:val="18"/>
          <w:lang w:val="es-CO"/>
        </w:rPr>
        <w:t>I</w:t>
      </w:r>
      <w:proofErr w:type="spellStart"/>
      <w:r w:rsidRPr="00331820">
        <w:rPr>
          <w:rFonts w:ascii="Arial" w:hAnsi="Arial" w:cs="Arial"/>
          <w:sz w:val="18"/>
          <w:szCs w:val="18"/>
          <w:lang w:val="es-ES_tradnl"/>
        </w:rPr>
        <w:t>bidem</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7C110879" w:rsidR="00DD51DD" w:rsidRDefault="00D56282">
    <w:pPr>
      <w:pStyle w:val="Encabezado"/>
    </w:pPr>
    <w:r>
      <w:rPr>
        <w:noProof/>
        <w:lang w:eastAsia="es-CO"/>
      </w:rPr>
      <mc:AlternateContent>
        <mc:Choice Requires="wps">
          <w:drawing>
            <wp:anchor distT="45720" distB="45720" distL="114300" distR="114300" simplePos="0" relativeHeight="251659264" behindDoc="0" locked="0" layoutInCell="1" allowOverlap="1" wp14:anchorId="6875CF3B" wp14:editId="39CE3F36">
              <wp:simplePos x="0" y="0"/>
              <wp:positionH relativeFrom="column">
                <wp:posOffset>548640</wp:posOffset>
              </wp:positionH>
              <wp:positionV relativeFrom="paragraph">
                <wp:posOffset>-173355</wp:posOffset>
              </wp:positionV>
              <wp:extent cx="3848100"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C683" w14:textId="77777777" w:rsidR="00D56282" w:rsidRPr="00BB1379" w:rsidRDefault="00D56282" w:rsidP="00D56282">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142D4E75" w14:textId="77777777" w:rsidR="00D56282" w:rsidRPr="00BB1379" w:rsidRDefault="00D56282" w:rsidP="00D56282">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2927A131" w14:textId="3C6E9C7B" w:rsidR="00D56282" w:rsidRDefault="00D56282" w:rsidP="00D56282">
                          <w:pPr>
                            <w:contextualSpacing/>
                            <w:rPr>
                              <w:rFonts w:ascii="Arial" w:hAnsi="Arial" w:cs="Arial"/>
                              <w:b/>
                              <w:color w:val="000000"/>
                            </w:rPr>
                          </w:pPr>
                          <w:r>
                            <w:rPr>
                              <w:rFonts w:ascii="Arial" w:hAnsi="Arial" w:cs="Arial"/>
                              <w:b/>
                              <w:color w:val="000000"/>
                            </w:rPr>
                            <w:t>Oficina Asesora Jurídica</w:t>
                          </w:r>
                        </w:p>
                        <w:p w14:paraId="705FA19A" w14:textId="28516D26" w:rsidR="00D56282" w:rsidRPr="00D56282" w:rsidRDefault="00D56282" w:rsidP="00D56282">
                          <w:pPr>
                            <w:contextualSpacing/>
                            <w:rPr>
                              <w:rFonts w:ascii="Arial" w:hAnsi="Arial" w:cs="Arial"/>
                              <w:b/>
                              <w:color w:val="000000"/>
                              <w:sz w:val="18"/>
                              <w:szCs w:val="18"/>
                            </w:rPr>
                          </w:pPr>
                          <w:r w:rsidRPr="00D56282">
                            <w:rPr>
                              <w:rFonts w:ascii="Arial" w:hAnsi="Arial" w:cs="Arial"/>
                              <w:b/>
                              <w:color w:val="000000"/>
                              <w:sz w:val="18"/>
                              <w:szCs w:val="18"/>
                            </w:rPr>
                            <w:t>Grupo de Control Constitucional y Estrategias Jurídicas</w:t>
                          </w:r>
                        </w:p>
                        <w:p w14:paraId="1FC771C1" w14:textId="1B325ED8" w:rsidR="00D56282" w:rsidRPr="00BB1379" w:rsidRDefault="00D56282" w:rsidP="00D56282">
                          <w:pPr>
                            <w:contextualSpacing/>
                            <w:rPr>
                              <w:rFonts w:ascii="Arial" w:hAnsi="Arial" w:cs="Arial"/>
                              <w:b/>
                              <w:color w:val="000000"/>
                            </w:rPr>
                          </w:pPr>
                          <w:r>
                            <w:rPr>
                              <w:rFonts w:ascii="Arial" w:hAnsi="Arial" w:cs="Arial"/>
                              <w:b/>
                              <w:color w:val="000000"/>
                            </w:rPr>
                            <w:t>Pública</w:t>
                          </w:r>
                        </w:p>
                        <w:p w14:paraId="71763885" w14:textId="1AA7C24D" w:rsidR="00DD51DD" w:rsidRPr="00BB1379" w:rsidRDefault="00DD51DD" w:rsidP="00200D9C">
                          <w:pPr>
                            <w:contextualSpacing/>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303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" filled="f" stroked="f">
              <v:textbox>
                <w:txbxContent>
                  <w:p w14:paraId="30D5C683" w14:textId="77777777" w:rsidR="00D56282" w:rsidRPr="00BB1379" w:rsidRDefault="00D56282" w:rsidP="00D56282">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142D4E75" w14:textId="77777777" w:rsidR="00D56282" w:rsidRPr="00BB1379" w:rsidRDefault="00D56282" w:rsidP="00D56282">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2927A131" w14:textId="3C6E9C7B" w:rsidR="00D56282" w:rsidRDefault="00D56282" w:rsidP="00D56282">
                    <w:pPr>
                      <w:contextualSpacing/>
                      <w:rPr>
                        <w:rFonts w:ascii="Arial" w:hAnsi="Arial" w:cs="Arial"/>
                        <w:b/>
                        <w:color w:val="000000"/>
                      </w:rPr>
                    </w:pPr>
                    <w:r>
                      <w:rPr>
                        <w:rFonts w:ascii="Arial" w:hAnsi="Arial" w:cs="Arial"/>
                        <w:b/>
                        <w:color w:val="000000"/>
                      </w:rPr>
                      <w:t>Oficina Asesora Jurídica</w:t>
                    </w:r>
                  </w:p>
                  <w:p w14:paraId="705FA19A" w14:textId="28516D26" w:rsidR="00D56282" w:rsidRPr="00D56282" w:rsidRDefault="00D56282" w:rsidP="00D56282">
                    <w:pPr>
                      <w:contextualSpacing/>
                      <w:rPr>
                        <w:rFonts w:ascii="Arial" w:hAnsi="Arial" w:cs="Arial"/>
                        <w:b/>
                        <w:color w:val="000000"/>
                        <w:sz w:val="18"/>
                        <w:szCs w:val="18"/>
                      </w:rPr>
                    </w:pPr>
                    <w:r w:rsidRPr="00D56282">
                      <w:rPr>
                        <w:rFonts w:ascii="Arial" w:hAnsi="Arial" w:cs="Arial"/>
                        <w:b/>
                        <w:color w:val="000000"/>
                        <w:sz w:val="18"/>
                        <w:szCs w:val="18"/>
                      </w:rPr>
                      <w:t>Grupo de Control Constitucional y Estrategias Jurídicas</w:t>
                    </w:r>
                  </w:p>
                  <w:p w14:paraId="1FC771C1" w14:textId="1B325ED8" w:rsidR="00D56282" w:rsidRPr="00BB1379" w:rsidRDefault="00D56282" w:rsidP="00D56282">
                    <w:pPr>
                      <w:contextualSpacing/>
                      <w:rPr>
                        <w:rFonts w:ascii="Arial" w:hAnsi="Arial" w:cs="Arial"/>
                        <w:b/>
                        <w:color w:val="000000"/>
                      </w:rPr>
                    </w:pPr>
                    <w:r>
                      <w:rPr>
                        <w:rFonts w:ascii="Arial" w:hAnsi="Arial" w:cs="Arial"/>
                        <w:b/>
                        <w:color w:val="000000"/>
                      </w:rPr>
                      <w:t>Pública</w:t>
                    </w:r>
                  </w:p>
                  <w:p w14:paraId="71763885" w14:textId="1AA7C24D" w:rsidR="00DD51DD" w:rsidRPr="00BB1379" w:rsidRDefault="00DD51DD" w:rsidP="00200D9C">
                    <w:pPr>
                      <w:contextualSpacing/>
                      <w:rPr>
                        <w:rFonts w:ascii="Arial" w:hAnsi="Arial" w:cs="Arial"/>
                        <w:b/>
                        <w:color w:val="000000"/>
                      </w:rPr>
                    </w:pPr>
                  </w:p>
                </w:txbxContent>
              </v:textbox>
              <w10:wrap type="square"/>
            </v:shape>
          </w:pict>
        </mc:Fallback>
      </mc:AlternateContent>
    </w:r>
    <w:r w:rsidR="00A7235C">
      <w:rPr>
        <w:noProof/>
        <w:lang w:eastAsia="es-CO"/>
      </w:rPr>
      <w:drawing>
        <wp:anchor distT="0" distB="0" distL="114300" distR="114300" simplePos="0" relativeHeight="251663360" behindDoc="1" locked="0" layoutInCell="1" allowOverlap="1" wp14:anchorId="2054C81C" wp14:editId="5EA895EB">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1B807"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71EC"/>
    <w:multiLevelType w:val="multilevel"/>
    <w:tmpl w:val="111EF9A2"/>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5A5F68"/>
    <w:multiLevelType w:val="hybridMultilevel"/>
    <w:tmpl w:val="4EB86406"/>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DD"/>
    <w:rsid w:val="00003FDF"/>
    <w:rsid w:val="00010A34"/>
    <w:rsid w:val="00015EB6"/>
    <w:rsid w:val="00020685"/>
    <w:rsid w:val="00022C7F"/>
    <w:rsid w:val="00023405"/>
    <w:rsid w:val="00096920"/>
    <w:rsid w:val="00097D15"/>
    <w:rsid w:val="000A14A5"/>
    <w:rsid w:val="000B20CF"/>
    <w:rsid w:val="000B507B"/>
    <w:rsid w:val="000C48FF"/>
    <w:rsid w:val="000C709A"/>
    <w:rsid w:val="000E6867"/>
    <w:rsid w:val="0012458D"/>
    <w:rsid w:val="00136CA7"/>
    <w:rsid w:val="00142C39"/>
    <w:rsid w:val="00164A6E"/>
    <w:rsid w:val="00200D9C"/>
    <w:rsid w:val="00203C20"/>
    <w:rsid w:val="00243275"/>
    <w:rsid w:val="00277D8E"/>
    <w:rsid w:val="00283D18"/>
    <w:rsid w:val="00290810"/>
    <w:rsid w:val="002A21F3"/>
    <w:rsid w:val="002E1C19"/>
    <w:rsid w:val="002F0B60"/>
    <w:rsid w:val="002F3C0B"/>
    <w:rsid w:val="00312479"/>
    <w:rsid w:val="00320AD1"/>
    <w:rsid w:val="00331820"/>
    <w:rsid w:val="00374FC8"/>
    <w:rsid w:val="0038648B"/>
    <w:rsid w:val="003915EA"/>
    <w:rsid w:val="003B53B8"/>
    <w:rsid w:val="004012F6"/>
    <w:rsid w:val="00440DC3"/>
    <w:rsid w:val="0044393A"/>
    <w:rsid w:val="00451673"/>
    <w:rsid w:val="00467515"/>
    <w:rsid w:val="0047299E"/>
    <w:rsid w:val="00495573"/>
    <w:rsid w:val="004B2A90"/>
    <w:rsid w:val="004F5DDE"/>
    <w:rsid w:val="005533E7"/>
    <w:rsid w:val="005701CA"/>
    <w:rsid w:val="00592AC5"/>
    <w:rsid w:val="005B7148"/>
    <w:rsid w:val="005C0CD1"/>
    <w:rsid w:val="005D0160"/>
    <w:rsid w:val="005D1345"/>
    <w:rsid w:val="0065166B"/>
    <w:rsid w:val="006534CA"/>
    <w:rsid w:val="00656814"/>
    <w:rsid w:val="00656AD6"/>
    <w:rsid w:val="00697A61"/>
    <w:rsid w:val="006B3578"/>
    <w:rsid w:val="006E1596"/>
    <w:rsid w:val="00733B89"/>
    <w:rsid w:val="0076695D"/>
    <w:rsid w:val="007825C7"/>
    <w:rsid w:val="00782B2A"/>
    <w:rsid w:val="00783DD7"/>
    <w:rsid w:val="00785C86"/>
    <w:rsid w:val="007964A2"/>
    <w:rsid w:val="0084028F"/>
    <w:rsid w:val="008B2C30"/>
    <w:rsid w:val="008E5735"/>
    <w:rsid w:val="008F1857"/>
    <w:rsid w:val="009238E2"/>
    <w:rsid w:val="00926D75"/>
    <w:rsid w:val="00961A0E"/>
    <w:rsid w:val="00981200"/>
    <w:rsid w:val="009C2F74"/>
    <w:rsid w:val="009D0D33"/>
    <w:rsid w:val="009D73D0"/>
    <w:rsid w:val="009F4626"/>
    <w:rsid w:val="00A04D12"/>
    <w:rsid w:val="00A16894"/>
    <w:rsid w:val="00A230B6"/>
    <w:rsid w:val="00A23933"/>
    <w:rsid w:val="00A46BC4"/>
    <w:rsid w:val="00A54FCE"/>
    <w:rsid w:val="00A6331D"/>
    <w:rsid w:val="00A7235C"/>
    <w:rsid w:val="00A95BBC"/>
    <w:rsid w:val="00AA3F1C"/>
    <w:rsid w:val="00B14651"/>
    <w:rsid w:val="00B87FC5"/>
    <w:rsid w:val="00BB1379"/>
    <w:rsid w:val="00C4360C"/>
    <w:rsid w:val="00C61876"/>
    <w:rsid w:val="00C6310D"/>
    <w:rsid w:val="00C657EB"/>
    <w:rsid w:val="00C9543B"/>
    <w:rsid w:val="00CB3921"/>
    <w:rsid w:val="00CF1587"/>
    <w:rsid w:val="00D56282"/>
    <w:rsid w:val="00D64431"/>
    <w:rsid w:val="00D65BE6"/>
    <w:rsid w:val="00D8029A"/>
    <w:rsid w:val="00DB70B2"/>
    <w:rsid w:val="00DC4484"/>
    <w:rsid w:val="00DD51DD"/>
    <w:rsid w:val="00E1369E"/>
    <w:rsid w:val="00E14DA4"/>
    <w:rsid w:val="00E228D3"/>
    <w:rsid w:val="00E71EF1"/>
    <w:rsid w:val="00EB3B9A"/>
    <w:rsid w:val="00EE56C7"/>
    <w:rsid w:val="00F136AE"/>
    <w:rsid w:val="00F41DCF"/>
    <w:rsid w:val="00F54F25"/>
    <w:rsid w:val="00FA22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43BFBC3B-4D2F-44DC-BFC0-F578122F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semiHidden/>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CB3921"/>
    <w:rPr>
      <w:sz w:val="20"/>
      <w:szCs w:val="20"/>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rsid w:val="00CB3921"/>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CB3921"/>
    <w:rPr>
      <w:vertAlign w:val="superscript"/>
    </w:rPr>
  </w:style>
  <w:style w:type="paragraph" w:styleId="Prrafodelista">
    <w:name w:val="List Paragraph"/>
    <w:aliases w:val="Pбrrafo de lista,Ha,Normal. Viñetas,Bullet List,FooterText,numbered,Paragraphe de liste1,Bulletr List Paragraph,列出段落,列出段落1,List Paragraph21,Listeafsnit1,Parágrafo da Lista1,List Paragraph1,lp1,Num Bullet 1,List Paragraph11,Cita textual"/>
    <w:basedOn w:val="Normal"/>
    <w:link w:val="PrrafodelistaCar"/>
    <w:uiPriority w:val="34"/>
    <w:qFormat/>
    <w:rsid w:val="00CB3921"/>
    <w:pPr>
      <w:spacing w:after="160" w:line="259" w:lineRule="auto"/>
      <w:ind w:left="720"/>
      <w:contextualSpacing/>
    </w:pPr>
    <w:rPr>
      <w:lang w:val="es-CO"/>
    </w:rPr>
  </w:style>
  <w:style w:type="character" w:customStyle="1" w:styleId="PrrafodelistaCar">
    <w:name w:val="Párrafo de lista Car"/>
    <w:aliases w:val="Pбrrafo de lista Car,Ha Car,Normal. Viñetas Car,Bullet List Car,FooterText Car,numbered Car,Paragraphe de liste1 Car,Bulletr List Paragraph Car,列出段落 Car,列出段落1 Car,List Paragraph21 Car,Listeafsnit1 Car,Parágrafo da Lista1 Car,lp1 Car"/>
    <w:link w:val="Prrafodelista"/>
    <w:uiPriority w:val="34"/>
    <w:locked/>
    <w:rsid w:val="00CB3921"/>
    <w:rPr>
      <w:rFonts w:ascii="Calibri" w:eastAsia="Calibri" w:hAnsi="Calibri" w:cs="Times New Roman"/>
    </w:rPr>
  </w:style>
  <w:style w:type="character" w:styleId="Refdecomentario">
    <w:name w:val="annotation reference"/>
    <w:basedOn w:val="Fuentedeprrafopredeter"/>
    <w:uiPriority w:val="99"/>
    <w:semiHidden/>
    <w:unhideWhenUsed/>
    <w:rsid w:val="00C4360C"/>
    <w:rPr>
      <w:sz w:val="16"/>
      <w:szCs w:val="16"/>
    </w:rPr>
  </w:style>
  <w:style w:type="paragraph" w:styleId="Textocomentario">
    <w:name w:val="annotation text"/>
    <w:basedOn w:val="Normal"/>
    <w:link w:val="TextocomentarioCar"/>
    <w:uiPriority w:val="99"/>
    <w:semiHidden/>
    <w:unhideWhenUsed/>
    <w:rsid w:val="00C43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360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4360C"/>
    <w:rPr>
      <w:b/>
      <w:bCs/>
    </w:rPr>
  </w:style>
  <w:style w:type="character" w:customStyle="1" w:styleId="AsuntodelcomentarioCar">
    <w:name w:val="Asunto del comentario Car"/>
    <w:basedOn w:val="TextocomentarioCar"/>
    <w:link w:val="Asuntodelcomentario"/>
    <w:uiPriority w:val="99"/>
    <w:semiHidden/>
    <w:rsid w:val="00C4360C"/>
    <w:rPr>
      <w:rFonts w:ascii="Calibri" w:eastAsia="Calibri" w:hAnsi="Calibri" w:cs="Times New Roman"/>
      <w:b/>
      <w:bCs/>
      <w:sz w:val="20"/>
      <w:szCs w:val="20"/>
      <w:lang w:val="es-ES"/>
    </w:rPr>
  </w:style>
  <w:style w:type="paragraph" w:styleId="Revisin">
    <w:name w:val="Revision"/>
    <w:hidden/>
    <w:uiPriority w:val="99"/>
    <w:semiHidden/>
    <w:rsid w:val="00C4360C"/>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FD105178098B48885B44C3A15DE8B9" ma:contentTypeVersion="12" ma:contentTypeDescription="Crear nuevo documento." ma:contentTypeScope="" ma:versionID="0c265fea9dfa62da595296343f9f81b2">
  <xsd:schema xmlns:xsd="http://www.w3.org/2001/XMLSchema" xmlns:xs="http://www.w3.org/2001/XMLSchema" xmlns:p="http://schemas.microsoft.com/office/2006/metadata/properties" xmlns:ns3="17229bc7-82f5-467d-8602-010f09251337" xmlns:ns4="dad40e3f-63c3-4e1b-9f41-889a827b7e1d" targetNamespace="http://schemas.microsoft.com/office/2006/metadata/properties" ma:root="true" ma:fieldsID="29c5c1bb38de605399967fcce9903b8c" ns3:_="" ns4:_="">
    <xsd:import namespace="17229bc7-82f5-467d-8602-010f09251337"/>
    <xsd:import namespace="dad40e3f-63c3-4e1b-9f41-889a827b7e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29bc7-82f5-467d-8602-010f09251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d40e3f-63c3-4e1b-9f41-889a827b7e1d"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4145E-8288-478C-AF05-F094BC90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29bc7-82f5-467d-8602-010f09251337"/>
    <ds:schemaRef ds:uri="dad40e3f-63c3-4e1b-9f41-889a827b7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8EDE5-C20F-422F-B366-E961CBFF6892}">
  <ds:schemaRefs>
    <ds:schemaRef ds:uri="http://schemas.openxmlformats.org/officeDocument/2006/bibliography"/>
  </ds:schemaRefs>
</ds:datastoreItem>
</file>

<file path=customXml/itemProps3.xml><?xml version="1.0" encoding="utf-8"?>
<ds:datastoreItem xmlns:ds="http://schemas.openxmlformats.org/officeDocument/2006/customXml" ds:itemID="{728223D4-1E56-45FF-83F4-0433F95A55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D7055C-F1A9-4FC5-8315-5D87D0191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2265</Words>
  <Characters>12459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4</cp:revision>
  <dcterms:created xsi:type="dcterms:W3CDTF">2021-06-30T16:16:00Z</dcterms:created>
  <dcterms:modified xsi:type="dcterms:W3CDTF">2021-08-16T14:33:00Z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0x010100E3FD105178098B48885B44C3A15DE8B9</vt:lpwstr>
  </property>
</Properties>
</file>