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B416" w14:textId="736D8B89" w:rsidR="00197848" w:rsidRPr="00197848" w:rsidRDefault="00197848" w:rsidP="00197848">
      <w:pPr>
        <w:jc w:val="center"/>
        <w:rPr>
          <w:rFonts w:ascii="Free 3 of 9" w:hAnsi="Free 3 of 9"/>
          <w:color w:val="000000"/>
          <w:sz w:val="40"/>
          <w:szCs w:val="40"/>
        </w:rPr>
      </w:pPr>
      <w:r>
        <w:rPr>
          <w:rFonts w:ascii="Free 3 of 9" w:hAnsi="Free 3 of 9"/>
          <w:color w:val="000000"/>
          <w:sz w:val="40"/>
          <w:szCs w:val="40"/>
        </w:rPr>
        <w:t xml:space="preserve">CONCEPTO ICBF No. </w:t>
      </w:r>
      <w:r>
        <w:rPr>
          <w:rFonts w:ascii="Free 3 of 9" w:hAnsi="Free 3 of 9"/>
          <w:color w:val="000000"/>
          <w:sz w:val="40"/>
          <w:szCs w:val="40"/>
        </w:rPr>
        <w:t>15</w:t>
      </w:r>
    </w:p>
    <w:p w14:paraId="5C86E398" w14:textId="5B381801" w:rsidR="0033558A" w:rsidRPr="00D316A5" w:rsidRDefault="007964A2" w:rsidP="00BE2383">
      <w:pPr>
        <w:spacing w:line="240" w:lineRule="auto"/>
        <w:ind w:left="1418" w:hanging="1418"/>
        <w:jc w:val="both"/>
        <w:rPr>
          <w:rFonts w:ascii="Arial" w:eastAsia="Times New Roman" w:hAnsi="Arial" w:cs="Arial"/>
          <w:bCs/>
          <w:iCs/>
        </w:rPr>
      </w:pPr>
      <w:r w:rsidRPr="00D316A5">
        <w:rPr>
          <w:rFonts w:ascii="Arial" w:hAnsi="Arial" w:cs="Arial"/>
          <w:b/>
        </w:rPr>
        <w:t>Asunto:</w:t>
      </w:r>
      <w:r w:rsidRPr="00D316A5">
        <w:rPr>
          <w:rFonts w:ascii="Arial" w:hAnsi="Arial" w:cs="Arial"/>
          <w:b/>
        </w:rPr>
        <w:tab/>
      </w:r>
      <w:r w:rsidR="0033558A" w:rsidRPr="00D316A5">
        <w:rPr>
          <w:rFonts w:ascii="Arial" w:hAnsi="Arial" w:cs="Arial"/>
        </w:rPr>
        <w:t>C</w:t>
      </w:r>
      <w:r w:rsidR="0033558A" w:rsidRPr="00D316A5">
        <w:rPr>
          <w:rFonts w:ascii="Arial" w:eastAsia="Times New Roman" w:hAnsi="Arial" w:cs="Arial"/>
          <w:bCs/>
          <w:iCs/>
        </w:rPr>
        <w:t xml:space="preserve">oncepto jurídico </w:t>
      </w:r>
      <w:r w:rsidR="000874BE">
        <w:rPr>
          <w:rFonts w:ascii="Arial" w:eastAsia="Times New Roman" w:hAnsi="Arial" w:cs="Arial"/>
          <w:bCs/>
          <w:iCs/>
        </w:rPr>
        <w:t>en relación con</w:t>
      </w:r>
      <w:r w:rsidR="0033558A" w:rsidRPr="00D316A5">
        <w:rPr>
          <w:rFonts w:ascii="Arial" w:eastAsia="Times New Roman" w:hAnsi="Arial" w:cs="Arial"/>
          <w:bCs/>
          <w:iCs/>
        </w:rPr>
        <w:t xml:space="preserve"> las funciones de la Coordinación </w:t>
      </w:r>
      <w:r w:rsidR="00A16447" w:rsidRPr="00D316A5">
        <w:rPr>
          <w:rFonts w:ascii="Arial" w:eastAsia="Times New Roman" w:hAnsi="Arial" w:cs="Arial"/>
          <w:bCs/>
          <w:iCs/>
        </w:rPr>
        <w:t>de</w:t>
      </w:r>
      <w:r w:rsidR="0033558A" w:rsidRPr="00D316A5">
        <w:rPr>
          <w:rFonts w:ascii="Arial" w:eastAsia="Times New Roman" w:hAnsi="Arial" w:cs="Arial"/>
          <w:bCs/>
          <w:iCs/>
        </w:rPr>
        <w:t xml:space="preserve"> Autoridades Administrativas para analizar las solicitudes de </w:t>
      </w:r>
      <w:r w:rsidR="0019401C" w:rsidRPr="00D316A5">
        <w:rPr>
          <w:rFonts w:ascii="Arial" w:eastAsia="Times New Roman" w:hAnsi="Arial" w:cs="Arial"/>
          <w:bCs/>
          <w:iCs/>
        </w:rPr>
        <w:t>pr</w:t>
      </w:r>
      <w:r w:rsidR="00F22DD9" w:rsidRPr="00D316A5">
        <w:rPr>
          <w:rFonts w:ascii="Arial" w:eastAsia="Times New Roman" w:hAnsi="Arial" w:cs="Arial"/>
          <w:bCs/>
          <w:iCs/>
        </w:rPr>
        <w:t>ó</w:t>
      </w:r>
      <w:r w:rsidR="0019401C" w:rsidRPr="00D316A5">
        <w:rPr>
          <w:rFonts w:ascii="Arial" w:eastAsia="Times New Roman" w:hAnsi="Arial" w:cs="Arial"/>
          <w:bCs/>
          <w:iCs/>
        </w:rPr>
        <w:t>rroga adicional</w:t>
      </w:r>
      <w:r w:rsidR="0033558A" w:rsidRPr="00D316A5">
        <w:rPr>
          <w:rFonts w:ascii="Arial" w:eastAsia="Times New Roman" w:hAnsi="Arial" w:cs="Arial"/>
          <w:bCs/>
          <w:iCs/>
        </w:rPr>
        <w:t xml:space="preserve"> de los </w:t>
      </w:r>
      <w:r w:rsidR="000874BE">
        <w:rPr>
          <w:rFonts w:ascii="Arial" w:eastAsia="Times New Roman" w:hAnsi="Arial" w:cs="Arial"/>
          <w:bCs/>
          <w:iCs/>
        </w:rPr>
        <w:t>Procesos Administrativos de Restauración de Derechos -</w:t>
      </w:r>
      <w:r w:rsidR="0033558A" w:rsidRPr="00D316A5">
        <w:rPr>
          <w:rFonts w:ascii="Arial" w:eastAsia="Times New Roman" w:hAnsi="Arial" w:cs="Arial"/>
          <w:bCs/>
          <w:iCs/>
        </w:rPr>
        <w:t>PARD.</w:t>
      </w:r>
    </w:p>
    <w:p w14:paraId="6FE2F3C9" w14:textId="77CC4B31" w:rsidR="007964A2" w:rsidRPr="00D316A5" w:rsidRDefault="00AA3F1C" w:rsidP="00BE2383">
      <w:pPr>
        <w:spacing w:line="240" w:lineRule="auto"/>
        <w:jc w:val="both"/>
        <w:rPr>
          <w:rFonts w:ascii="Arial" w:hAnsi="Arial" w:cs="Arial"/>
          <w:lang w:val="en-US"/>
        </w:rPr>
      </w:pPr>
      <w:r w:rsidRPr="00D316A5">
        <w:rPr>
          <w:rFonts w:ascii="Arial" w:hAnsi="Arial" w:cs="Arial"/>
          <w:b/>
          <w:lang w:val="en-US"/>
        </w:rPr>
        <w:t>Fecha:</w:t>
      </w:r>
      <w:r w:rsidR="001D3257" w:rsidRPr="00D316A5">
        <w:rPr>
          <w:rFonts w:ascii="Arial" w:hAnsi="Arial" w:cs="Arial"/>
          <w:b/>
          <w:lang w:val="en-US"/>
        </w:rPr>
        <w:tab/>
      </w:r>
      <w:r w:rsidR="00197848" w:rsidRPr="00197848">
        <w:rPr>
          <w:rFonts w:ascii="Arial" w:hAnsi="Arial" w:cs="Arial"/>
          <w:bCs/>
          <w:lang w:val="en-US"/>
        </w:rPr>
        <w:t>30 de Junio de 2021</w:t>
      </w:r>
      <w:r w:rsidR="007964A2" w:rsidRPr="00D316A5">
        <w:rPr>
          <w:rFonts w:ascii="Arial" w:hAnsi="Arial" w:cs="Arial"/>
          <w:b/>
          <w:lang w:val="en-US"/>
        </w:rPr>
        <w:tab/>
      </w:r>
    </w:p>
    <w:p w14:paraId="12593CD2" w14:textId="77777777" w:rsidR="007964A2" w:rsidRPr="00D316A5" w:rsidRDefault="007964A2" w:rsidP="00BE2383">
      <w:pPr>
        <w:spacing w:after="0" w:line="240" w:lineRule="auto"/>
        <w:rPr>
          <w:rFonts w:ascii="Arial" w:hAnsi="Arial" w:cs="Arial"/>
          <w:b/>
          <w:lang w:val="en-US"/>
        </w:rPr>
      </w:pPr>
    </w:p>
    <w:p w14:paraId="76A30CD6" w14:textId="4FFFF2CF" w:rsidR="0033558A" w:rsidRPr="00D316A5" w:rsidRDefault="0033558A" w:rsidP="00BE2383">
      <w:pPr>
        <w:spacing w:after="0" w:line="240" w:lineRule="auto"/>
        <w:ind w:right="20"/>
        <w:jc w:val="both"/>
        <w:rPr>
          <w:rFonts w:ascii="Arial" w:eastAsia="Times New Roman" w:hAnsi="Arial" w:cs="Arial"/>
          <w:bCs/>
          <w:iCs/>
        </w:rPr>
      </w:pPr>
      <w:r w:rsidRPr="00D316A5">
        <w:rPr>
          <w:rFonts w:ascii="Arial" w:eastAsia="Times New Roman" w:hAnsi="Arial" w:cs="Arial"/>
          <w:bCs/>
          <w:iCs/>
        </w:rPr>
        <w:t xml:space="preserve">Respetado </w:t>
      </w:r>
      <w:r w:rsidR="00783E06" w:rsidRPr="00D316A5">
        <w:rPr>
          <w:rFonts w:ascii="Arial" w:eastAsia="Times New Roman" w:hAnsi="Arial" w:cs="Arial"/>
          <w:bCs/>
          <w:iCs/>
        </w:rPr>
        <w:t xml:space="preserve">Dr. </w:t>
      </w:r>
      <w:r w:rsidRPr="00D316A5">
        <w:rPr>
          <w:rFonts w:ascii="Arial" w:eastAsia="Times New Roman" w:hAnsi="Arial" w:cs="Arial"/>
          <w:bCs/>
          <w:iCs/>
        </w:rPr>
        <w:t>Alejandro.</w:t>
      </w:r>
    </w:p>
    <w:p w14:paraId="68306ACC" w14:textId="77777777" w:rsidR="0033558A" w:rsidRPr="00D316A5" w:rsidRDefault="0033558A" w:rsidP="00BE2383">
      <w:pPr>
        <w:spacing w:after="0" w:line="240" w:lineRule="auto"/>
        <w:ind w:right="20"/>
        <w:jc w:val="both"/>
        <w:rPr>
          <w:rFonts w:ascii="Arial" w:eastAsia="Times New Roman" w:hAnsi="Arial" w:cs="Arial"/>
          <w:iCs/>
          <w:lang w:eastAsia="es-ES"/>
        </w:rPr>
      </w:pPr>
    </w:p>
    <w:p w14:paraId="247DF418" w14:textId="70C7DAD5" w:rsidR="0033558A" w:rsidRPr="00D316A5" w:rsidRDefault="0033558A" w:rsidP="00BE2383">
      <w:pPr>
        <w:tabs>
          <w:tab w:val="left" w:pos="708"/>
          <w:tab w:val="left" w:pos="1416"/>
          <w:tab w:val="left" w:pos="2124"/>
          <w:tab w:val="left" w:pos="2832"/>
          <w:tab w:val="left" w:pos="3540"/>
          <w:tab w:val="center" w:pos="4419"/>
        </w:tabs>
        <w:spacing w:after="0" w:line="240" w:lineRule="auto"/>
        <w:contextualSpacing/>
        <w:jc w:val="both"/>
        <w:rPr>
          <w:rFonts w:ascii="Arial" w:eastAsia="Times New Roman" w:hAnsi="Arial" w:cs="Arial"/>
          <w:iCs/>
          <w:lang w:eastAsia="es-ES"/>
        </w:rPr>
      </w:pPr>
      <w:r w:rsidRPr="00D316A5">
        <w:rPr>
          <w:rFonts w:ascii="Arial" w:eastAsia="Times New Roman" w:hAnsi="Arial" w:cs="Arial"/>
          <w:iCs/>
          <w:lang w:eastAsia="es-ES"/>
        </w:rPr>
        <w:t xml:space="preserve">De acuerdo con la solicitud remitida </w:t>
      </w:r>
      <w:r w:rsidR="000874BE">
        <w:rPr>
          <w:rFonts w:ascii="Arial" w:eastAsia="Times New Roman" w:hAnsi="Arial" w:cs="Arial"/>
          <w:iCs/>
          <w:lang w:eastAsia="es-ES"/>
        </w:rPr>
        <w:t xml:space="preserve">por usted </w:t>
      </w:r>
      <w:r w:rsidRPr="00D316A5">
        <w:rPr>
          <w:rFonts w:ascii="Arial" w:eastAsia="Times New Roman" w:hAnsi="Arial" w:cs="Arial"/>
          <w:iCs/>
          <w:lang w:eastAsia="es-ES"/>
        </w:rPr>
        <w:t>a la Oficina Asesora Jurídica de manera atenta, y de conformidad con lo señalado en</w:t>
      </w:r>
      <w:r w:rsidR="000874BE">
        <w:rPr>
          <w:rFonts w:ascii="Arial" w:eastAsia="Times New Roman" w:hAnsi="Arial" w:cs="Arial"/>
          <w:iCs/>
          <w:lang w:eastAsia="es-ES"/>
        </w:rPr>
        <w:t xml:space="preserve"> el</w:t>
      </w:r>
      <w:r w:rsidRPr="00D316A5">
        <w:rPr>
          <w:rFonts w:ascii="Arial" w:eastAsia="Times New Roman" w:hAnsi="Arial" w:cs="Arial"/>
          <w:iCs/>
          <w:lang w:eastAsia="es-ES"/>
        </w:rPr>
        <w:t xml:space="preserve"> artículo 26 del Código Civil, la Ley 1755 de 2015 </w:t>
      </w:r>
      <w:r w:rsidRPr="00D316A5">
        <w:rPr>
          <w:rFonts w:ascii="Arial" w:hAnsi="Arial" w:cs="Arial"/>
          <w:iCs/>
          <w:lang w:eastAsia="es-ES"/>
        </w:rPr>
        <w:t>y el numeral 4</w:t>
      </w:r>
      <w:r w:rsidR="000874BE">
        <w:rPr>
          <w:rFonts w:ascii="Arial" w:hAnsi="Arial" w:cs="Arial"/>
          <w:iCs/>
          <w:lang w:eastAsia="es-ES"/>
        </w:rPr>
        <w:t>°</w:t>
      </w:r>
      <w:r w:rsidRPr="00D316A5">
        <w:rPr>
          <w:rFonts w:ascii="Arial" w:hAnsi="Arial" w:cs="Arial"/>
          <w:iCs/>
          <w:lang w:eastAsia="es-ES"/>
        </w:rPr>
        <w:t xml:space="preserve"> del artículo 6° del Decreto 987 de 2012, procedo a dar </w:t>
      </w:r>
      <w:r w:rsidRPr="00D316A5">
        <w:rPr>
          <w:rFonts w:ascii="Arial" w:eastAsia="Times New Roman" w:hAnsi="Arial" w:cs="Arial"/>
          <w:iCs/>
          <w:lang w:eastAsia="es-ES"/>
        </w:rPr>
        <w:t xml:space="preserve">respuesta a la consulta sobre el caso en cuestión, en los siguientes términos: </w:t>
      </w:r>
    </w:p>
    <w:p w14:paraId="46E79794" w14:textId="3DAED4BE" w:rsidR="00592023" w:rsidRPr="00D316A5" w:rsidRDefault="00592023" w:rsidP="00BE2383">
      <w:pPr>
        <w:tabs>
          <w:tab w:val="left" w:pos="708"/>
          <w:tab w:val="left" w:pos="1416"/>
          <w:tab w:val="left" w:pos="2124"/>
          <w:tab w:val="left" w:pos="2832"/>
          <w:tab w:val="left" w:pos="3540"/>
          <w:tab w:val="center" w:pos="4419"/>
        </w:tabs>
        <w:spacing w:after="0" w:line="240" w:lineRule="auto"/>
        <w:contextualSpacing/>
        <w:jc w:val="both"/>
        <w:rPr>
          <w:rFonts w:ascii="Arial" w:eastAsia="Times New Roman" w:hAnsi="Arial" w:cs="Arial"/>
          <w:iCs/>
          <w:lang w:eastAsia="es-ES"/>
        </w:rPr>
      </w:pPr>
    </w:p>
    <w:p w14:paraId="77245DE7" w14:textId="01B6B173" w:rsidR="00592023" w:rsidRPr="00D316A5" w:rsidRDefault="00537FEE" w:rsidP="00BE2383">
      <w:pPr>
        <w:pStyle w:val="Prrafodelista"/>
        <w:numPr>
          <w:ilvl w:val="0"/>
          <w:numId w:val="4"/>
        </w:numPr>
        <w:tabs>
          <w:tab w:val="left" w:pos="708"/>
          <w:tab w:val="left" w:pos="1416"/>
          <w:tab w:val="left" w:pos="2124"/>
          <w:tab w:val="left" w:pos="2832"/>
          <w:tab w:val="left" w:pos="3540"/>
          <w:tab w:val="center" w:pos="4419"/>
        </w:tabs>
        <w:spacing w:after="0" w:line="240" w:lineRule="auto"/>
        <w:jc w:val="center"/>
        <w:rPr>
          <w:rFonts w:ascii="Arial" w:eastAsia="Times New Roman" w:hAnsi="Arial" w:cs="Arial"/>
          <w:b/>
          <w:iCs/>
          <w:lang w:eastAsia="es-ES"/>
        </w:rPr>
      </w:pPr>
      <w:r w:rsidRPr="00D316A5">
        <w:rPr>
          <w:rFonts w:ascii="Arial" w:eastAsia="Times New Roman" w:hAnsi="Arial" w:cs="Arial"/>
          <w:b/>
          <w:iCs/>
          <w:lang w:eastAsia="es-ES"/>
        </w:rPr>
        <w:t>Problema jurídico</w:t>
      </w:r>
    </w:p>
    <w:p w14:paraId="725D1A98" w14:textId="78D220D7" w:rsidR="00BA0849" w:rsidRPr="00D316A5" w:rsidRDefault="00BA0849" w:rsidP="00BE2383">
      <w:pPr>
        <w:tabs>
          <w:tab w:val="left" w:pos="708"/>
          <w:tab w:val="left" w:pos="1416"/>
          <w:tab w:val="left" w:pos="2124"/>
          <w:tab w:val="left" w:pos="2832"/>
          <w:tab w:val="left" w:pos="3540"/>
          <w:tab w:val="center" w:pos="4419"/>
        </w:tabs>
        <w:spacing w:after="0" w:line="240" w:lineRule="auto"/>
        <w:contextualSpacing/>
        <w:jc w:val="both"/>
        <w:rPr>
          <w:rFonts w:ascii="Arial" w:eastAsia="Times New Roman" w:hAnsi="Arial" w:cs="Arial"/>
          <w:b/>
          <w:iCs/>
          <w:lang w:eastAsia="es-ES"/>
        </w:rPr>
      </w:pPr>
    </w:p>
    <w:p w14:paraId="45F86E46" w14:textId="256CFF2B" w:rsidR="002F4E36" w:rsidRPr="00D316A5" w:rsidRDefault="002F4E36" w:rsidP="00BE2383">
      <w:pPr>
        <w:tabs>
          <w:tab w:val="left" w:pos="708"/>
          <w:tab w:val="left" w:pos="1416"/>
          <w:tab w:val="left" w:pos="2124"/>
          <w:tab w:val="left" w:pos="2832"/>
          <w:tab w:val="left" w:pos="3540"/>
          <w:tab w:val="center" w:pos="4419"/>
        </w:tabs>
        <w:spacing w:after="0" w:line="240" w:lineRule="auto"/>
        <w:contextualSpacing/>
        <w:jc w:val="both"/>
        <w:rPr>
          <w:rFonts w:ascii="Arial" w:eastAsia="Times New Roman" w:hAnsi="Arial" w:cs="Arial"/>
          <w:bCs/>
          <w:lang w:val="es-MX" w:eastAsia="es-CO"/>
        </w:rPr>
      </w:pPr>
      <w:r w:rsidRPr="00D316A5">
        <w:rPr>
          <w:rFonts w:ascii="Arial" w:eastAsia="Times New Roman" w:hAnsi="Arial" w:cs="Arial"/>
          <w:iCs/>
          <w:lang w:eastAsia="es-ES"/>
        </w:rPr>
        <w:t xml:space="preserve">La </w:t>
      </w:r>
      <w:r w:rsidR="00314EFC" w:rsidRPr="00D316A5">
        <w:rPr>
          <w:rFonts w:ascii="Arial" w:eastAsia="Times New Roman" w:hAnsi="Arial" w:cs="Arial"/>
          <w:iCs/>
          <w:lang w:eastAsia="es-ES"/>
        </w:rPr>
        <w:t>Dirección de Protección solicita</w:t>
      </w:r>
      <w:r w:rsidRPr="00D316A5">
        <w:rPr>
          <w:rFonts w:ascii="Arial" w:eastAsia="Times New Roman" w:hAnsi="Arial" w:cs="Arial"/>
          <w:iCs/>
          <w:lang w:eastAsia="es-ES"/>
        </w:rPr>
        <w:t xml:space="preserve"> a esta Oficina Asesora Jurídica emitir concepto </w:t>
      </w:r>
      <w:r w:rsidR="000874BE">
        <w:rPr>
          <w:rFonts w:ascii="Arial" w:eastAsia="Times New Roman" w:hAnsi="Arial" w:cs="Arial"/>
          <w:iCs/>
          <w:lang w:eastAsia="es-ES"/>
        </w:rPr>
        <w:t>para determinar</w:t>
      </w:r>
      <w:r w:rsidR="000874BE" w:rsidRPr="00D316A5">
        <w:rPr>
          <w:rFonts w:ascii="Arial" w:eastAsia="Times New Roman" w:hAnsi="Arial" w:cs="Arial"/>
          <w:iCs/>
          <w:lang w:eastAsia="es-ES"/>
        </w:rPr>
        <w:t xml:space="preserve"> </w:t>
      </w:r>
      <w:r w:rsidRPr="00D316A5">
        <w:rPr>
          <w:rFonts w:ascii="Arial" w:eastAsia="Times New Roman" w:hAnsi="Arial" w:cs="Arial"/>
          <w:iCs/>
          <w:lang w:eastAsia="es-ES"/>
        </w:rPr>
        <w:t xml:space="preserve">si es viable que el </w:t>
      </w:r>
      <w:r w:rsidR="000874BE">
        <w:rPr>
          <w:rFonts w:ascii="Arial" w:eastAsia="Times New Roman" w:hAnsi="Arial" w:cs="Arial"/>
          <w:iCs/>
          <w:lang w:eastAsia="es-ES"/>
        </w:rPr>
        <w:t>G</w:t>
      </w:r>
      <w:r w:rsidRPr="00D316A5">
        <w:rPr>
          <w:rFonts w:ascii="Arial" w:eastAsia="Times New Roman" w:hAnsi="Arial" w:cs="Arial"/>
          <w:iCs/>
          <w:lang w:eastAsia="es-ES"/>
        </w:rPr>
        <w:t xml:space="preserve">rupo de trabajo de Coordinación de Autoridades Administrativas resuelva las solicitudes </w:t>
      </w:r>
      <w:r w:rsidR="00314EFC" w:rsidRPr="00D316A5">
        <w:rPr>
          <w:rFonts w:ascii="Arial" w:eastAsia="Times New Roman" w:hAnsi="Arial" w:cs="Arial"/>
          <w:iCs/>
          <w:lang w:eastAsia="es-ES"/>
        </w:rPr>
        <w:t xml:space="preserve">de prórroga </w:t>
      </w:r>
      <w:r w:rsidRPr="00D316A5">
        <w:rPr>
          <w:rFonts w:ascii="Arial" w:eastAsia="Times New Roman" w:hAnsi="Arial" w:cs="Arial"/>
          <w:iCs/>
          <w:lang w:eastAsia="es-ES"/>
        </w:rPr>
        <w:t>de términos de</w:t>
      </w:r>
      <w:r w:rsidR="000874BE">
        <w:rPr>
          <w:rFonts w:ascii="Arial" w:eastAsia="Times New Roman" w:hAnsi="Arial" w:cs="Arial"/>
          <w:iCs/>
          <w:lang w:eastAsia="es-ES"/>
        </w:rPr>
        <w:t xml:space="preserve"> </w:t>
      </w:r>
      <w:r w:rsidRPr="00D316A5">
        <w:rPr>
          <w:rFonts w:ascii="Arial" w:eastAsia="Times New Roman" w:hAnsi="Arial" w:cs="Arial"/>
          <w:iCs/>
          <w:lang w:eastAsia="es-ES"/>
        </w:rPr>
        <w:t>l</w:t>
      </w:r>
      <w:r w:rsidR="000874BE">
        <w:rPr>
          <w:rFonts w:ascii="Arial" w:eastAsia="Times New Roman" w:hAnsi="Arial" w:cs="Arial"/>
          <w:iCs/>
          <w:lang w:eastAsia="es-ES"/>
        </w:rPr>
        <w:t xml:space="preserve">os </w:t>
      </w:r>
      <w:r w:rsidR="000874BE">
        <w:rPr>
          <w:rFonts w:ascii="Arial" w:eastAsia="Times New Roman" w:hAnsi="Arial" w:cs="Arial"/>
          <w:bCs/>
          <w:iCs/>
        </w:rPr>
        <w:t>Procesos Administrativos de Restauración de Derechos-</w:t>
      </w:r>
      <w:r w:rsidRPr="00D316A5">
        <w:rPr>
          <w:rFonts w:ascii="Arial" w:eastAsia="Times New Roman" w:hAnsi="Arial" w:cs="Arial"/>
          <w:iCs/>
          <w:lang w:eastAsia="es-ES"/>
        </w:rPr>
        <w:t xml:space="preserve"> PARD establecida en la Resolución</w:t>
      </w:r>
      <w:r w:rsidR="000874BE">
        <w:rPr>
          <w:rFonts w:ascii="Arial" w:eastAsia="Times New Roman" w:hAnsi="Arial" w:cs="Arial"/>
          <w:iCs/>
          <w:lang w:eastAsia="es-ES"/>
        </w:rPr>
        <w:t xml:space="preserve"> No.</w:t>
      </w:r>
      <w:r w:rsidRPr="00D316A5">
        <w:rPr>
          <w:rFonts w:ascii="Arial" w:eastAsia="Times New Roman" w:hAnsi="Arial" w:cs="Arial"/>
          <w:iCs/>
          <w:lang w:eastAsia="es-ES"/>
        </w:rPr>
        <w:t xml:space="preserve"> 11199 de 2019</w:t>
      </w:r>
      <w:r w:rsidR="000424AB">
        <w:rPr>
          <w:rStyle w:val="Refdenotaalpie"/>
          <w:rFonts w:ascii="Arial" w:eastAsia="Times New Roman" w:hAnsi="Arial" w:cs="Arial"/>
          <w:iCs/>
          <w:lang w:eastAsia="es-ES"/>
        </w:rPr>
        <w:footnoteReference w:id="1"/>
      </w:r>
      <w:r w:rsidRPr="00D316A5">
        <w:rPr>
          <w:rFonts w:ascii="Arial" w:eastAsia="Times New Roman" w:hAnsi="Arial" w:cs="Arial"/>
          <w:iCs/>
          <w:lang w:eastAsia="es-ES"/>
        </w:rPr>
        <w:t>, teniendo en cuenta</w:t>
      </w:r>
      <w:r w:rsidRPr="00D316A5">
        <w:rPr>
          <w:rFonts w:ascii="Arial" w:hAnsi="Arial" w:cs="Arial"/>
        </w:rPr>
        <w:t xml:space="preserve"> que </w:t>
      </w:r>
      <w:r w:rsidRPr="00D316A5">
        <w:rPr>
          <w:rFonts w:ascii="Arial" w:eastAsia="Times New Roman" w:hAnsi="Arial" w:cs="Arial"/>
          <w:bCs/>
          <w:lang w:val="es-MX" w:eastAsia="es-CO"/>
        </w:rPr>
        <w:t xml:space="preserve">las funciones específicas de dicha coordinación están relacionadas con brindar asistencia técnico-jurídica a las autoridades administrativas y </w:t>
      </w:r>
      <w:r w:rsidR="009A3843" w:rsidRPr="00D316A5">
        <w:rPr>
          <w:rFonts w:ascii="Arial" w:eastAsia="Times New Roman" w:hAnsi="Arial" w:cs="Arial"/>
          <w:bCs/>
          <w:lang w:val="es-MX" w:eastAsia="es-CO"/>
        </w:rPr>
        <w:t xml:space="preserve">los </w:t>
      </w:r>
      <w:r w:rsidRPr="00D316A5">
        <w:rPr>
          <w:rFonts w:ascii="Arial" w:eastAsia="Times New Roman" w:hAnsi="Arial" w:cs="Arial"/>
          <w:bCs/>
          <w:lang w:val="es-MX" w:eastAsia="es-CO"/>
        </w:rPr>
        <w:t xml:space="preserve">equipos técnicos interdisciplinarios, lo cual podría generar un impedimento para resolver sobre la ampliación de términos del PARD </w:t>
      </w:r>
      <w:r w:rsidR="00C16587" w:rsidRPr="00D316A5">
        <w:rPr>
          <w:rFonts w:ascii="Arial" w:eastAsia="Times New Roman" w:hAnsi="Arial" w:cs="Arial"/>
          <w:bCs/>
          <w:lang w:val="es-MX" w:eastAsia="es-CO"/>
        </w:rPr>
        <w:t>en</w:t>
      </w:r>
      <w:r w:rsidRPr="00D316A5">
        <w:rPr>
          <w:rFonts w:ascii="Arial" w:eastAsia="Times New Roman" w:hAnsi="Arial" w:cs="Arial"/>
          <w:bCs/>
          <w:lang w:val="es-MX" w:eastAsia="es-CO"/>
        </w:rPr>
        <w:t xml:space="preserve"> aquellos asuntos que hayan sido conocidos previamente por dicha dependencia en el marco de las funciones mencionadas.</w:t>
      </w:r>
    </w:p>
    <w:p w14:paraId="66AB4506" w14:textId="77777777" w:rsidR="002F4E36" w:rsidRPr="00D316A5" w:rsidRDefault="002F4E36" w:rsidP="00BE2383">
      <w:pPr>
        <w:tabs>
          <w:tab w:val="left" w:pos="708"/>
          <w:tab w:val="left" w:pos="1416"/>
          <w:tab w:val="left" w:pos="2124"/>
          <w:tab w:val="left" w:pos="2832"/>
          <w:tab w:val="left" w:pos="3540"/>
          <w:tab w:val="center" w:pos="4419"/>
        </w:tabs>
        <w:spacing w:after="0" w:line="240" w:lineRule="auto"/>
        <w:contextualSpacing/>
        <w:jc w:val="both"/>
        <w:rPr>
          <w:rFonts w:ascii="Arial" w:eastAsia="Times New Roman" w:hAnsi="Arial" w:cs="Arial"/>
          <w:bCs/>
          <w:lang w:val="es-MX" w:eastAsia="es-CO"/>
        </w:rPr>
      </w:pPr>
    </w:p>
    <w:p w14:paraId="5383EFF7" w14:textId="5715EA8F" w:rsidR="002F4E36" w:rsidRPr="00D316A5" w:rsidRDefault="002F4E36" w:rsidP="00BE2383">
      <w:pPr>
        <w:tabs>
          <w:tab w:val="left" w:pos="708"/>
          <w:tab w:val="left" w:pos="1416"/>
          <w:tab w:val="left" w:pos="2124"/>
          <w:tab w:val="left" w:pos="2832"/>
          <w:tab w:val="left" w:pos="3540"/>
          <w:tab w:val="center" w:pos="4419"/>
        </w:tabs>
        <w:spacing w:after="0" w:line="240" w:lineRule="auto"/>
        <w:contextualSpacing/>
        <w:jc w:val="both"/>
        <w:rPr>
          <w:rFonts w:ascii="Arial" w:eastAsia="Times New Roman" w:hAnsi="Arial" w:cs="Arial"/>
          <w:bCs/>
          <w:lang w:val="es-MX" w:eastAsia="es-CO"/>
        </w:rPr>
      </w:pPr>
      <w:r w:rsidRPr="00D316A5">
        <w:rPr>
          <w:rFonts w:ascii="Arial" w:eastAsia="Times New Roman" w:hAnsi="Arial" w:cs="Arial"/>
          <w:bCs/>
          <w:lang w:val="es-MX" w:eastAsia="es-CO"/>
        </w:rPr>
        <w:t xml:space="preserve">De resultar viable que la coordinación pueda adelantar este trámite, se </w:t>
      </w:r>
      <w:r w:rsidR="000874BE">
        <w:rPr>
          <w:rFonts w:ascii="Arial" w:eastAsia="Times New Roman" w:hAnsi="Arial" w:cs="Arial"/>
          <w:bCs/>
          <w:lang w:val="es-MX" w:eastAsia="es-CO"/>
        </w:rPr>
        <w:t>pregunta</w:t>
      </w:r>
      <w:r w:rsidR="000874BE" w:rsidRPr="00D316A5">
        <w:rPr>
          <w:rFonts w:ascii="Arial" w:eastAsia="Times New Roman" w:hAnsi="Arial" w:cs="Arial"/>
          <w:bCs/>
          <w:lang w:val="es-MX" w:eastAsia="es-CO"/>
        </w:rPr>
        <w:t xml:space="preserve"> </w:t>
      </w:r>
      <w:r w:rsidRPr="00D316A5">
        <w:rPr>
          <w:rFonts w:ascii="Arial" w:eastAsia="Times New Roman" w:hAnsi="Arial" w:cs="Arial"/>
          <w:bCs/>
          <w:lang w:val="es-MX" w:eastAsia="es-CO"/>
        </w:rPr>
        <w:t>si es necesario modificar la Resolución</w:t>
      </w:r>
      <w:r w:rsidR="000874BE">
        <w:rPr>
          <w:rFonts w:ascii="Arial" w:eastAsia="Times New Roman" w:hAnsi="Arial" w:cs="Arial"/>
          <w:bCs/>
          <w:lang w:val="es-MX" w:eastAsia="es-CO"/>
        </w:rPr>
        <w:t xml:space="preserve"> No.</w:t>
      </w:r>
      <w:r w:rsidRPr="00D316A5">
        <w:rPr>
          <w:rFonts w:ascii="Arial" w:eastAsia="Times New Roman" w:hAnsi="Arial" w:cs="Arial"/>
          <w:bCs/>
          <w:lang w:val="es-MX" w:eastAsia="es-CO"/>
        </w:rPr>
        <w:t xml:space="preserve"> 2</w:t>
      </w:r>
      <w:r w:rsidR="000424AB">
        <w:rPr>
          <w:rFonts w:ascii="Arial" w:eastAsia="Times New Roman" w:hAnsi="Arial" w:cs="Arial"/>
          <w:bCs/>
          <w:lang w:val="es-MX" w:eastAsia="es-CO"/>
        </w:rPr>
        <w:t>688</w:t>
      </w:r>
      <w:r w:rsidRPr="00D316A5">
        <w:rPr>
          <w:rFonts w:ascii="Arial" w:eastAsia="Times New Roman" w:hAnsi="Arial" w:cs="Arial"/>
          <w:bCs/>
          <w:lang w:val="es-MX" w:eastAsia="es-CO"/>
        </w:rPr>
        <w:t xml:space="preserve"> de 2017</w:t>
      </w:r>
      <w:r w:rsidR="000424AB">
        <w:rPr>
          <w:rStyle w:val="Refdenotaalpie"/>
          <w:rFonts w:ascii="Arial" w:eastAsia="Times New Roman" w:hAnsi="Arial" w:cs="Arial"/>
          <w:bCs/>
          <w:lang w:val="es-MX" w:eastAsia="es-CO"/>
        </w:rPr>
        <w:footnoteReference w:id="2"/>
      </w:r>
      <w:r w:rsidR="009A3843" w:rsidRPr="00D316A5">
        <w:rPr>
          <w:rFonts w:ascii="Arial" w:eastAsia="Times New Roman" w:hAnsi="Arial" w:cs="Arial"/>
          <w:bCs/>
          <w:lang w:val="es-MX" w:eastAsia="es-CO"/>
        </w:rPr>
        <w:t>,</w:t>
      </w:r>
      <w:r w:rsidRPr="00D316A5">
        <w:rPr>
          <w:rFonts w:ascii="Arial" w:eastAsia="Times New Roman" w:hAnsi="Arial" w:cs="Arial"/>
          <w:bCs/>
          <w:lang w:val="es-MX" w:eastAsia="es-CO"/>
        </w:rPr>
        <w:t xml:space="preserve"> </w:t>
      </w:r>
      <w:r w:rsidR="009A3843" w:rsidRPr="00D316A5">
        <w:rPr>
          <w:rFonts w:ascii="Arial" w:eastAsia="Times New Roman" w:hAnsi="Arial" w:cs="Arial"/>
          <w:bCs/>
          <w:lang w:val="es-MX" w:eastAsia="es-CO"/>
        </w:rPr>
        <w:t xml:space="preserve">con </w:t>
      </w:r>
      <w:r w:rsidRPr="00D316A5">
        <w:rPr>
          <w:rFonts w:ascii="Arial" w:eastAsia="Times New Roman" w:hAnsi="Arial" w:cs="Arial"/>
          <w:bCs/>
          <w:lang w:val="es-MX" w:eastAsia="es-CO"/>
        </w:rPr>
        <w:t>la inclusión de nuevas funciones</w:t>
      </w:r>
      <w:r w:rsidR="009A3843" w:rsidRPr="00D316A5">
        <w:rPr>
          <w:rFonts w:ascii="Arial" w:eastAsia="Times New Roman" w:hAnsi="Arial" w:cs="Arial"/>
          <w:bCs/>
          <w:lang w:val="es-MX" w:eastAsia="es-CO"/>
        </w:rPr>
        <w:t>,</w:t>
      </w:r>
      <w:r w:rsidRPr="00D316A5">
        <w:rPr>
          <w:rFonts w:ascii="Arial" w:eastAsia="Times New Roman" w:hAnsi="Arial" w:cs="Arial"/>
          <w:bCs/>
          <w:lang w:val="es-MX" w:eastAsia="es-CO"/>
        </w:rPr>
        <w:t xml:space="preserve"> o si las que se encuentran establecidas resulta</w:t>
      </w:r>
      <w:r w:rsidR="009A3843" w:rsidRPr="00D316A5">
        <w:rPr>
          <w:rFonts w:ascii="Arial" w:eastAsia="Times New Roman" w:hAnsi="Arial" w:cs="Arial"/>
          <w:bCs/>
          <w:lang w:val="es-MX" w:eastAsia="es-CO"/>
        </w:rPr>
        <w:t>n</w:t>
      </w:r>
      <w:r w:rsidRPr="00D316A5">
        <w:rPr>
          <w:rFonts w:ascii="Arial" w:eastAsia="Times New Roman" w:hAnsi="Arial" w:cs="Arial"/>
          <w:bCs/>
          <w:lang w:val="es-MX" w:eastAsia="es-CO"/>
        </w:rPr>
        <w:t xml:space="preserve"> suficiente</w:t>
      </w:r>
      <w:r w:rsidR="009A3843" w:rsidRPr="00D316A5">
        <w:rPr>
          <w:rFonts w:ascii="Arial" w:eastAsia="Times New Roman" w:hAnsi="Arial" w:cs="Arial"/>
          <w:bCs/>
          <w:lang w:val="es-MX" w:eastAsia="es-CO"/>
        </w:rPr>
        <w:t>s</w:t>
      </w:r>
      <w:r w:rsidRPr="00D316A5">
        <w:rPr>
          <w:rFonts w:ascii="Arial" w:eastAsia="Times New Roman" w:hAnsi="Arial" w:cs="Arial"/>
          <w:bCs/>
          <w:lang w:val="es-MX" w:eastAsia="es-CO"/>
        </w:rPr>
        <w:t xml:space="preserve"> para resolver las solicitudes adicionales de ampliación de términos PARD.</w:t>
      </w:r>
    </w:p>
    <w:p w14:paraId="40F55A59" w14:textId="77777777" w:rsidR="00D50432" w:rsidRPr="00D316A5" w:rsidRDefault="00D50432" w:rsidP="00BE2383">
      <w:pPr>
        <w:spacing w:after="0" w:line="240" w:lineRule="auto"/>
        <w:contextualSpacing/>
        <w:jc w:val="both"/>
        <w:rPr>
          <w:rFonts w:ascii="Arial" w:eastAsia="Times New Roman" w:hAnsi="Arial" w:cs="Arial"/>
          <w:bCs/>
          <w:iCs/>
        </w:rPr>
      </w:pPr>
    </w:p>
    <w:p w14:paraId="11BEBF21" w14:textId="77777777" w:rsidR="00537FEE" w:rsidRPr="00D316A5" w:rsidRDefault="00537FEE" w:rsidP="00BE2383">
      <w:pPr>
        <w:spacing w:after="0" w:line="240" w:lineRule="auto"/>
        <w:contextualSpacing/>
        <w:jc w:val="both"/>
        <w:rPr>
          <w:rFonts w:ascii="Arial" w:eastAsia="Times New Roman" w:hAnsi="Arial" w:cs="Arial"/>
          <w:bCs/>
          <w:iCs/>
        </w:rPr>
      </w:pPr>
    </w:p>
    <w:p w14:paraId="2194A21D" w14:textId="657116D9" w:rsidR="00ED136E" w:rsidRPr="00D316A5" w:rsidRDefault="00537FEE" w:rsidP="004B7215">
      <w:pPr>
        <w:pStyle w:val="Prrafodelista"/>
        <w:numPr>
          <w:ilvl w:val="0"/>
          <w:numId w:val="4"/>
        </w:numPr>
        <w:spacing w:after="0" w:line="240" w:lineRule="auto"/>
        <w:ind w:right="20"/>
        <w:jc w:val="center"/>
        <w:rPr>
          <w:rFonts w:ascii="Arial" w:eastAsia="Times New Roman" w:hAnsi="Arial" w:cs="Arial"/>
          <w:b/>
          <w:iCs/>
          <w:lang w:eastAsia="es-ES"/>
        </w:rPr>
      </w:pPr>
      <w:r w:rsidRPr="00D316A5">
        <w:rPr>
          <w:rFonts w:ascii="Arial" w:hAnsi="Arial" w:cs="Arial"/>
          <w:b/>
        </w:rPr>
        <w:t>Análisis del Problema jurídico</w:t>
      </w:r>
    </w:p>
    <w:p w14:paraId="03260A98" w14:textId="77777777" w:rsidR="00537FEE" w:rsidRPr="00D316A5" w:rsidRDefault="00537FEE" w:rsidP="00537FEE">
      <w:pPr>
        <w:pStyle w:val="Prrafodelista"/>
        <w:spacing w:after="0" w:line="240" w:lineRule="auto"/>
        <w:ind w:left="1080" w:right="20"/>
        <w:rPr>
          <w:rFonts w:ascii="Arial" w:hAnsi="Arial" w:cs="Arial"/>
          <w:b/>
        </w:rPr>
      </w:pPr>
    </w:p>
    <w:p w14:paraId="3F0D2EEC" w14:textId="3B743997" w:rsidR="00ED136E" w:rsidRPr="00D316A5" w:rsidRDefault="008135F3" w:rsidP="00BE2383">
      <w:pPr>
        <w:pStyle w:val="Prrafodelista"/>
        <w:numPr>
          <w:ilvl w:val="0"/>
          <w:numId w:val="6"/>
        </w:numPr>
        <w:spacing w:after="0" w:line="240" w:lineRule="auto"/>
        <w:ind w:right="20"/>
        <w:jc w:val="both"/>
        <w:rPr>
          <w:rFonts w:ascii="Arial" w:eastAsia="Times New Roman" w:hAnsi="Arial" w:cs="Arial"/>
          <w:b/>
          <w:iCs/>
          <w:lang w:eastAsia="es-ES"/>
        </w:rPr>
      </w:pPr>
      <w:r w:rsidRPr="00D316A5">
        <w:rPr>
          <w:rFonts w:ascii="Arial" w:eastAsia="Times New Roman" w:hAnsi="Arial" w:cs="Arial"/>
          <w:b/>
          <w:iCs/>
          <w:lang w:eastAsia="es-ES"/>
        </w:rPr>
        <w:t>C</w:t>
      </w:r>
      <w:r w:rsidR="00ED136E" w:rsidRPr="00D316A5">
        <w:rPr>
          <w:rFonts w:ascii="Arial" w:eastAsia="Times New Roman" w:hAnsi="Arial" w:cs="Arial"/>
          <w:b/>
          <w:iCs/>
          <w:lang w:eastAsia="es-ES"/>
        </w:rPr>
        <w:t>ompetencia</w:t>
      </w:r>
      <w:r w:rsidRPr="00D316A5">
        <w:rPr>
          <w:rFonts w:ascii="Arial" w:eastAsia="Times New Roman" w:hAnsi="Arial" w:cs="Arial"/>
          <w:b/>
          <w:iCs/>
          <w:lang w:eastAsia="es-ES"/>
        </w:rPr>
        <w:t>s</w:t>
      </w:r>
      <w:r w:rsidR="00ED136E" w:rsidRPr="00D316A5">
        <w:rPr>
          <w:rFonts w:ascii="Arial" w:eastAsia="Times New Roman" w:hAnsi="Arial" w:cs="Arial"/>
          <w:b/>
          <w:iCs/>
          <w:lang w:eastAsia="es-ES"/>
        </w:rPr>
        <w:t xml:space="preserve"> de la Dirección de Protección y la Coordinación de Autoridades administrativas</w:t>
      </w:r>
    </w:p>
    <w:p w14:paraId="77CDE21B" w14:textId="77777777" w:rsidR="00ED136E" w:rsidRPr="00D316A5" w:rsidRDefault="00ED136E" w:rsidP="00BE2383">
      <w:pPr>
        <w:pStyle w:val="Prrafodelista"/>
        <w:spacing w:after="0" w:line="240" w:lineRule="auto"/>
        <w:ind w:left="1080" w:right="20"/>
        <w:rPr>
          <w:rFonts w:ascii="Arial" w:eastAsia="Times New Roman" w:hAnsi="Arial" w:cs="Arial"/>
          <w:b/>
          <w:iCs/>
          <w:lang w:eastAsia="es-ES"/>
        </w:rPr>
      </w:pPr>
    </w:p>
    <w:p w14:paraId="306825DD" w14:textId="7ED44DE8" w:rsidR="00ED136E" w:rsidRPr="00D316A5" w:rsidRDefault="00ED136E" w:rsidP="00BE2383">
      <w:pPr>
        <w:spacing w:after="0" w:line="240" w:lineRule="auto"/>
        <w:jc w:val="both"/>
        <w:rPr>
          <w:rFonts w:ascii="Arial" w:hAnsi="Arial" w:cs="Arial"/>
          <w:lang w:val="es-CO"/>
        </w:rPr>
      </w:pPr>
      <w:r w:rsidRPr="00D316A5">
        <w:rPr>
          <w:rFonts w:ascii="Arial" w:hAnsi="Arial" w:cs="Arial"/>
          <w:lang w:val="es-CO"/>
        </w:rPr>
        <w:lastRenderedPageBreak/>
        <w:t xml:space="preserve">A continuación, procedemos a citar el marco </w:t>
      </w:r>
      <w:r w:rsidR="000874BE">
        <w:rPr>
          <w:rFonts w:ascii="Arial" w:hAnsi="Arial" w:cs="Arial"/>
          <w:lang w:val="es-CO"/>
        </w:rPr>
        <w:t>normativo</w:t>
      </w:r>
      <w:r w:rsidRPr="00D316A5">
        <w:rPr>
          <w:rFonts w:ascii="Arial" w:hAnsi="Arial" w:cs="Arial"/>
          <w:lang w:val="es-CO"/>
        </w:rPr>
        <w:t xml:space="preserve"> de competencia de la Dirección de Protección y la Coordinación de Autoridades Administrativas</w:t>
      </w:r>
      <w:r w:rsidR="00CF335A" w:rsidRPr="00D316A5">
        <w:rPr>
          <w:rFonts w:ascii="Arial" w:hAnsi="Arial" w:cs="Arial"/>
          <w:lang w:val="es-CO"/>
        </w:rPr>
        <w:t>,</w:t>
      </w:r>
      <w:r w:rsidRPr="00D316A5">
        <w:rPr>
          <w:rFonts w:ascii="Arial" w:hAnsi="Arial" w:cs="Arial"/>
          <w:lang w:val="es-CO"/>
        </w:rPr>
        <w:t xml:space="preserve"> relacionado con el procedimiento de</w:t>
      </w:r>
      <w:r w:rsidRPr="00D316A5">
        <w:rPr>
          <w:rFonts w:ascii="Arial" w:hAnsi="Arial" w:cs="Arial"/>
        </w:rPr>
        <w:t xml:space="preserve"> </w:t>
      </w:r>
      <w:r w:rsidRPr="00D316A5">
        <w:rPr>
          <w:rFonts w:ascii="Arial" w:hAnsi="Arial" w:cs="Arial"/>
          <w:lang w:val="es-CO"/>
        </w:rPr>
        <w:t xml:space="preserve">ampliación de términos del PARD establecido en la Resolución </w:t>
      </w:r>
      <w:r w:rsidR="000874BE">
        <w:rPr>
          <w:rFonts w:ascii="Arial" w:hAnsi="Arial" w:cs="Arial"/>
          <w:lang w:val="es-CO"/>
        </w:rPr>
        <w:t>No.</w:t>
      </w:r>
      <w:r w:rsidRPr="00D316A5">
        <w:rPr>
          <w:rFonts w:ascii="Arial" w:hAnsi="Arial" w:cs="Arial"/>
          <w:lang w:val="es-CO"/>
        </w:rPr>
        <w:t xml:space="preserve">11199 de 2019:    </w:t>
      </w:r>
    </w:p>
    <w:p w14:paraId="26815319" w14:textId="77777777" w:rsidR="00ED136E" w:rsidRPr="00D316A5" w:rsidRDefault="00ED136E" w:rsidP="00BE2383">
      <w:pPr>
        <w:spacing w:after="0" w:line="240" w:lineRule="auto"/>
        <w:jc w:val="both"/>
        <w:rPr>
          <w:rFonts w:ascii="Arial" w:hAnsi="Arial" w:cs="Arial"/>
          <w:lang w:val="es-CO"/>
        </w:rPr>
      </w:pPr>
    </w:p>
    <w:p w14:paraId="4A5DA851" w14:textId="0D9DA81C" w:rsidR="00ED136E" w:rsidRPr="00D316A5" w:rsidRDefault="00ED136E" w:rsidP="00BE2383">
      <w:pPr>
        <w:spacing w:after="0" w:line="240" w:lineRule="auto"/>
        <w:rPr>
          <w:rStyle w:val="Textoennegrita"/>
          <w:rFonts w:ascii="Arial" w:hAnsi="Arial" w:cs="Arial"/>
        </w:rPr>
      </w:pPr>
      <w:r w:rsidRPr="00D316A5">
        <w:rPr>
          <w:rFonts w:ascii="Arial" w:hAnsi="Arial" w:cs="Arial"/>
          <w:bCs/>
        </w:rPr>
        <w:t xml:space="preserve">El </w:t>
      </w:r>
      <w:r w:rsidRPr="00D316A5">
        <w:rPr>
          <w:rStyle w:val="Textoennegrita"/>
          <w:rFonts w:ascii="Arial" w:hAnsi="Arial" w:cs="Arial"/>
          <w:b w:val="0"/>
        </w:rPr>
        <w:t>Decreto 987 de 2012</w:t>
      </w:r>
      <w:r w:rsidR="00C4078B" w:rsidRPr="00D316A5">
        <w:rPr>
          <w:rStyle w:val="Refdenotaalpie"/>
          <w:rFonts w:ascii="Arial" w:hAnsi="Arial" w:cs="Arial"/>
          <w:bCs/>
        </w:rPr>
        <w:footnoteReference w:id="3"/>
      </w:r>
      <w:r w:rsidRPr="00D316A5">
        <w:rPr>
          <w:rStyle w:val="Textoennegrita"/>
          <w:rFonts w:ascii="Arial" w:hAnsi="Arial" w:cs="Arial"/>
        </w:rPr>
        <w:t xml:space="preserve"> </w:t>
      </w:r>
      <w:r w:rsidRPr="00D316A5">
        <w:rPr>
          <w:rStyle w:val="Textoennegrita"/>
          <w:rFonts w:ascii="Arial" w:hAnsi="Arial" w:cs="Arial"/>
          <w:b w:val="0"/>
        </w:rPr>
        <w:t>establece en lo pertinente:</w:t>
      </w:r>
    </w:p>
    <w:p w14:paraId="060F1B26" w14:textId="77777777" w:rsidR="00ED136E" w:rsidRPr="00D316A5" w:rsidRDefault="00ED136E" w:rsidP="00BE2383">
      <w:pPr>
        <w:spacing w:after="0" w:line="240" w:lineRule="auto"/>
        <w:rPr>
          <w:rStyle w:val="Textoennegrita"/>
          <w:rFonts w:ascii="Arial" w:hAnsi="Arial" w:cs="Arial"/>
          <w:sz w:val="20"/>
          <w:szCs w:val="20"/>
        </w:rPr>
      </w:pPr>
    </w:p>
    <w:p w14:paraId="0C912D9E"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r w:rsidRPr="00D316A5">
        <w:rPr>
          <w:rStyle w:val="Textoennegrita"/>
          <w:rFonts w:ascii="Arial" w:hAnsi="Arial" w:cs="Arial"/>
          <w:b w:val="0"/>
          <w:i/>
          <w:sz w:val="20"/>
          <w:szCs w:val="20"/>
        </w:rPr>
        <w:t>“</w:t>
      </w:r>
      <w:r w:rsidRPr="00D316A5">
        <w:rPr>
          <w:rStyle w:val="Textoennegrita"/>
          <w:rFonts w:ascii="Arial" w:hAnsi="Arial" w:cs="Arial"/>
          <w:i/>
          <w:sz w:val="20"/>
          <w:szCs w:val="20"/>
        </w:rPr>
        <w:t xml:space="preserve">Artículo 38. </w:t>
      </w:r>
      <w:r w:rsidRPr="00D316A5">
        <w:rPr>
          <w:rFonts w:ascii="Arial" w:hAnsi="Arial" w:cs="Arial"/>
          <w:b/>
          <w:i/>
          <w:sz w:val="20"/>
          <w:szCs w:val="20"/>
        </w:rPr>
        <w:t>Dirección de Protección</w:t>
      </w:r>
      <w:r w:rsidRPr="00D316A5">
        <w:rPr>
          <w:rFonts w:ascii="Arial" w:hAnsi="Arial" w:cs="Arial"/>
          <w:i/>
          <w:sz w:val="20"/>
          <w:szCs w:val="20"/>
        </w:rPr>
        <w:t>. Son funciones de la Dirección de Protección las siguientes:</w:t>
      </w:r>
    </w:p>
    <w:p w14:paraId="388FAB57"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p>
    <w:p w14:paraId="7AACF122"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r w:rsidRPr="00D316A5">
        <w:rPr>
          <w:rFonts w:ascii="Arial" w:hAnsi="Arial" w:cs="Arial"/>
          <w:i/>
          <w:sz w:val="20"/>
          <w:szCs w:val="20"/>
        </w:rPr>
        <w:t>(…)</w:t>
      </w:r>
    </w:p>
    <w:p w14:paraId="57AB9EF6"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r w:rsidRPr="00D316A5">
        <w:rPr>
          <w:rFonts w:ascii="Arial" w:hAnsi="Arial" w:cs="Arial"/>
          <w:i/>
          <w:sz w:val="20"/>
          <w:szCs w:val="20"/>
        </w:rPr>
        <w:t>2. Definir los lineamientos generales en materia de protección que deben ser tenidos en cuenta en todos los procesos relacionados con el reconocimiento de derechos a los niños, niñas y adolescentes.</w:t>
      </w:r>
    </w:p>
    <w:p w14:paraId="6DFE15B6"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r w:rsidRPr="00D316A5">
        <w:rPr>
          <w:rFonts w:ascii="Arial" w:hAnsi="Arial" w:cs="Arial"/>
          <w:i/>
          <w:sz w:val="20"/>
          <w:szCs w:val="20"/>
        </w:rPr>
        <w:t>(…)</w:t>
      </w:r>
    </w:p>
    <w:p w14:paraId="4793D8DC" w14:textId="77777777" w:rsidR="00ED136E" w:rsidRPr="00D316A5" w:rsidRDefault="00ED136E" w:rsidP="00BE2383">
      <w:pPr>
        <w:pStyle w:val="NormalWeb"/>
        <w:spacing w:before="0" w:beforeAutospacing="0" w:after="0" w:afterAutospacing="0"/>
        <w:ind w:left="709"/>
        <w:jc w:val="both"/>
        <w:rPr>
          <w:rFonts w:ascii="Arial" w:hAnsi="Arial" w:cs="Arial"/>
          <w:sz w:val="20"/>
          <w:szCs w:val="20"/>
        </w:rPr>
      </w:pPr>
      <w:r w:rsidRPr="00D316A5">
        <w:rPr>
          <w:rFonts w:ascii="Arial" w:hAnsi="Arial" w:cs="Arial"/>
          <w:i/>
          <w:sz w:val="20"/>
          <w:szCs w:val="20"/>
        </w:rPr>
        <w:t> 7. Definir los parámetros bajo los cuales se brinda asesoría y asistencia técnica a las Regionales y Centros Zonales del Instituto Colombiano de Bienestar Familiar y a las organizaciones del orden nacional y territorial que prestan el Servicio Público de Bienestar Familiar.” </w:t>
      </w:r>
      <w:r w:rsidRPr="00D316A5">
        <w:rPr>
          <w:rFonts w:ascii="Arial" w:hAnsi="Arial" w:cs="Arial"/>
          <w:sz w:val="20"/>
          <w:szCs w:val="20"/>
        </w:rPr>
        <w:t> (Subrayado fuera de texto) </w:t>
      </w:r>
    </w:p>
    <w:p w14:paraId="0DF33F93" w14:textId="77777777" w:rsidR="00ED136E" w:rsidRPr="00D316A5" w:rsidRDefault="00ED136E" w:rsidP="00BE2383">
      <w:pPr>
        <w:pStyle w:val="NormalWeb"/>
        <w:spacing w:before="0" w:beforeAutospacing="0" w:after="0" w:afterAutospacing="0"/>
        <w:jc w:val="both"/>
        <w:rPr>
          <w:rFonts w:ascii="Arial" w:hAnsi="Arial" w:cs="Arial"/>
          <w:sz w:val="22"/>
          <w:szCs w:val="22"/>
        </w:rPr>
      </w:pPr>
    </w:p>
    <w:p w14:paraId="47DAA11A" w14:textId="0CE54F91" w:rsidR="00ED136E" w:rsidRPr="00D316A5" w:rsidRDefault="008135F3" w:rsidP="00BE2383">
      <w:pPr>
        <w:pStyle w:val="NormalWeb"/>
        <w:spacing w:before="0" w:beforeAutospacing="0" w:after="0" w:afterAutospacing="0"/>
        <w:jc w:val="both"/>
        <w:rPr>
          <w:rFonts w:ascii="Arial" w:hAnsi="Arial" w:cs="Arial"/>
          <w:sz w:val="22"/>
          <w:szCs w:val="22"/>
        </w:rPr>
      </w:pPr>
      <w:r w:rsidRPr="00D316A5">
        <w:rPr>
          <w:rFonts w:ascii="Arial" w:hAnsi="Arial" w:cs="Arial"/>
          <w:sz w:val="22"/>
          <w:szCs w:val="22"/>
        </w:rPr>
        <w:t>A su vez, l</w:t>
      </w:r>
      <w:r w:rsidR="00ED136E" w:rsidRPr="00D316A5">
        <w:rPr>
          <w:rFonts w:ascii="Arial" w:hAnsi="Arial" w:cs="Arial"/>
          <w:sz w:val="22"/>
          <w:szCs w:val="22"/>
        </w:rPr>
        <w:t>a Resolución 2688 de 2017</w:t>
      </w:r>
      <w:r w:rsidR="00C4078B" w:rsidRPr="00D316A5">
        <w:rPr>
          <w:rStyle w:val="Refdenotaalpie"/>
          <w:rFonts w:ascii="Arial" w:hAnsi="Arial" w:cs="Arial"/>
          <w:sz w:val="22"/>
          <w:szCs w:val="22"/>
        </w:rPr>
        <w:footnoteReference w:id="4"/>
      </w:r>
      <w:r w:rsidR="00C4078B" w:rsidRPr="00D316A5">
        <w:rPr>
          <w:rFonts w:ascii="Arial" w:hAnsi="Arial" w:cs="Arial"/>
          <w:sz w:val="22"/>
          <w:szCs w:val="22"/>
        </w:rPr>
        <w:t xml:space="preserve"> </w:t>
      </w:r>
      <w:r w:rsidR="00ED136E" w:rsidRPr="00D316A5">
        <w:rPr>
          <w:rFonts w:ascii="Arial" w:hAnsi="Arial" w:cs="Arial"/>
          <w:sz w:val="22"/>
          <w:szCs w:val="22"/>
        </w:rPr>
        <w:t>establece:</w:t>
      </w:r>
    </w:p>
    <w:p w14:paraId="29632CDA" w14:textId="77777777" w:rsidR="00ED136E" w:rsidRPr="00D316A5" w:rsidRDefault="00ED136E" w:rsidP="00BE2383">
      <w:pPr>
        <w:pStyle w:val="NormalWeb"/>
        <w:spacing w:before="0" w:beforeAutospacing="0" w:after="0" w:afterAutospacing="0"/>
        <w:jc w:val="both"/>
        <w:rPr>
          <w:rFonts w:ascii="Arial" w:hAnsi="Arial" w:cs="Arial"/>
          <w:sz w:val="22"/>
          <w:szCs w:val="22"/>
        </w:rPr>
      </w:pPr>
    </w:p>
    <w:p w14:paraId="5CBC68D5"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r w:rsidRPr="00D316A5">
        <w:rPr>
          <w:rStyle w:val="baj"/>
          <w:rFonts w:ascii="Arial" w:hAnsi="Arial" w:cs="Arial"/>
          <w:bCs/>
          <w:sz w:val="22"/>
          <w:szCs w:val="22"/>
        </w:rPr>
        <w:t>“</w:t>
      </w:r>
      <w:r w:rsidRPr="00D316A5">
        <w:rPr>
          <w:rStyle w:val="baj"/>
          <w:rFonts w:ascii="Arial" w:hAnsi="Arial" w:cs="Arial"/>
          <w:b/>
          <w:bCs/>
          <w:i/>
          <w:sz w:val="20"/>
          <w:szCs w:val="20"/>
        </w:rPr>
        <w:t>ARTÍCULO PRIMERO. </w:t>
      </w:r>
      <w:r w:rsidRPr="00D316A5">
        <w:rPr>
          <w:rFonts w:ascii="Arial" w:hAnsi="Arial" w:cs="Arial"/>
          <w:i/>
          <w:sz w:val="20"/>
          <w:szCs w:val="20"/>
        </w:rPr>
        <w:t>Modificar el artículo </w:t>
      </w:r>
      <w:hyperlink r:id="rId11" w:anchor="41" w:history="1">
        <w:r w:rsidRPr="00D316A5">
          <w:rPr>
            <w:rStyle w:val="Hipervnculo"/>
            <w:rFonts w:ascii="Arial" w:eastAsia="Calibri" w:hAnsi="Arial" w:cs="Arial"/>
            <w:i/>
            <w:color w:val="auto"/>
            <w:sz w:val="20"/>
            <w:szCs w:val="20"/>
            <w:u w:val="none"/>
          </w:rPr>
          <w:t>41</w:t>
        </w:r>
      </w:hyperlink>
      <w:r w:rsidRPr="00D316A5">
        <w:rPr>
          <w:rFonts w:ascii="Arial" w:hAnsi="Arial" w:cs="Arial"/>
          <w:i/>
          <w:sz w:val="20"/>
          <w:szCs w:val="20"/>
        </w:rPr>
        <w:t> de la Resolución No. 060 de 2013, el cual quedará así:</w:t>
      </w:r>
    </w:p>
    <w:p w14:paraId="430E91B7" w14:textId="77777777" w:rsidR="00ED136E" w:rsidRPr="00D316A5" w:rsidRDefault="00ED136E" w:rsidP="00BE2383">
      <w:pPr>
        <w:spacing w:after="0" w:line="240" w:lineRule="auto"/>
        <w:ind w:left="709"/>
        <w:rPr>
          <w:rFonts w:ascii="Arial" w:hAnsi="Arial" w:cs="Arial"/>
          <w:b/>
          <w:i/>
          <w:sz w:val="20"/>
          <w:szCs w:val="20"/>
          <w:lang w:val="es-CO"/>
        </w:rPr>
      </w:pPr>
    </w:p>
    <w:p w14:paraId="20F8E742"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r w:rsidRPr="00D316A5">
        <w:rPr>
          <w:rStyle w:val="baj"/>
          <w:rFonts w:ascii="Arial" w:hAnsi="Arial" w:cs="Arial"/>
          <w:b/>
          <w:bCs/>
          <w:i/>
          <w:sz w:val="20"/>
          <w:szCs w:val="20"/>
        </w:rPr>
        <w:t>Artículo </w:t>
      </w:r>
      <w:hyperlink r:id="rId12" w:anchor="41" w:history="1">
        <w:r w:rsidRPr="00D316A5">
          <w:rPr>
            <w:rStyle w:val="Hipervnculo"/>
            <w:rFonts w:ascii="Arial" w:eastAsia="Calibri" w:hAnsi="Arial" w:cs="Arial"/>
            <w:b/>
            <w:bCs/>
            <w:i/>
            <w:color w:val="auto"/>
            <w:sz w:val="20"/>
            <w:szCs w:val="20"/>
            <w:u w:val="none"/>
          </w:rPr>
          <w:t>41</w:t>
        </w:r>
      </w:hyperlink>
      <w:r w:rsidRPr="00D316A5">
        <w:rPr>
          <w:rStyle w:val="baj"/>
          <w:rFonts w:ascii="Arial" w:hAnsi="Arial" w:cs="Arial"/>
          <w:b/>
          <w:bCs/>
          <w:i/>
          <w:sz w:val="20"/>
          <w:szCs w:val="20"/>
        </w:rPr>
        <w:t>. COORDINACIÓN DE AUTORIDADES ADMINISTRATIVAS: </w:t>
      </w:r>
      <w:r w:rsidRPr="00D316A5">
        <w:rPr>
          <w:rFonts w:ascii="Arial" w:hAnsi="Arial" w:cs="Arial"/>
          <w:i/>
          <w:sz w:val="20"/>
          <w:szCs w:val="20"/>
        </w:rPr>
        <w:t xml:space="preserve">Este grupo está encargado de apoyar, fortalecer y brindar asistencia </w:t>
      </w:r>
      <w:proofErr w:type="gramStart"/>
      <w:r w:rsidRPr="00D316A5">
        <w:rPr>
          <w:rFonts w:ascii="Arial" w:hAnsi="Arial" w:cs="Arial"/>
          <w:i/>
          <w:sz w:val="20"/>
          <w:szCs w:val="20"/>
        </w:rPr>
        <w:t>técnico jurídica</w:t>
      </w:r>
      <w:proofErr w:type="gramEnd"/>
      <w:r w:rsidRPr="00D316A5">
        <w:rPr>
          <w:rFonts w:ascii="Arial" w:hAnsi="Arial" w:cs="Arial"/>
          <w:i/>
          <w:sz w:val="20"/>
          <w:szCs w:val="20"/>
        </w:rPr>
        <w:t xml:space="preserve"> a las Autoridades Administrativas competentes en el restablecimiento de los derechos de niños, niñas y adolescentes y sus equipos técnicos interdisciplinarios, con el objetivo de cualificar su quehacer misional.  (Subrayado fuera de texto) </w:t>
      </w:r>
    </w:p>
    <w:p w14:paraId="07CC9749"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p>
    <w:p w14:paraId="4ED489DC"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r w:rsidRPr="00D316A5">
        <w:rPr>
          <w:rFonts w:ascii="Arial" w:hAnsi="Arial" w:cs="Arial"/>
          <w:i/>
          <w:sz w:val="20"/>
          <w:szCs w:val="20"/>
        </w:rPr>
        <w:t>Para tal fin, cumplirá las siguientes funciones:</w:t>
      </w:r>
    </w:p>
    <w:p w14:paraId="4AB99B8E"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p>
    <w:p w14:paraId="4D91803C"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r w:rsidRPr="00D316A5">
        <w:rPr>
          <w:rFonts w:ascii="Arial" w:hAnsi="Arial" w:cs="Arial"/>
          <w:i/>
          <w:sz w:val="20"/>
          <w:szCs w:val="20"/>
        </w:rPr>
        <w:t>1. Proyectar, cuando se requiera, la actualización del Lineamiento de ruta de actuaciones para el Restablecimiento de Derechos de niños, niñas y adolescentes con sus derechos amenazados, inobservados o vulnerados y aquellos documentos que sean necesarios para el desempeño del rol misional de las Autoridades Administrativas Competentes y sus equipos técnicos interdisciplinarios.</w:t>
      </w:r>
    </w:p>
    <w:p w14:paraId="61F15BFB"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p>
    <w:p w14:paraId="03629264"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r w:rsidRPr="00D316A5">
        <w:rPr>
          <w:rFonts w:ascii="Arial" w:hAnsi="Arial" w:cs="Arial"/>
          <w:i/>
          <w:sz w:val="20"/>
          <w:szCs w:val="20"/>
        </w:rPr>
        <w:t>2. Generar procesos de cualificación permanente y estrategias de gestión de conocimiento para las Autoridades Administrativas y Equipos Técnicos Interdisciplinarios, respecto de los trámites de Restablecimiento de Derechos, en coordinación con las dependencias del ICBF que se requieran.</w:t>
      </w:r>
    </w:p>
    <w:p w14:paraId="7796B082"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p>
    <w:p w14:paraId="6AFE758B"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r w:rsidRPr="00D316A5">
        <w:rPr>
          <w:rFonts w:ascii="Arial" w:hAnsi="Arial" w:cs="Arial"/>
          <w:i/>
          <w:sz w:val="20"/>
          <w:szCs w:val="20"/>
        </w:rPr>
        <w:t xml:space="preserve">3. Brindar asistencia técnico-jurídica permanente a las Autoridades Administrativas y Equipos Técnicos Interdisciplinarios, frente a las inquietudes que se generan en temas </w:t>
      </w:r>
      <w:r w:rsidRPr="00D316A5">
        <w:rPr>
          <w:rFonts w:ascii="Arial" w:hAnsi="Arial" w:cs="Arial"/>
          <w:i/>
          <w:sz w:val="20"/>
          <w:szCs w:val="20"/>
        </w:rPr>
        <w:lastRenderedPageBreak/>
        <w:t>relacionados con el restablecimiento de derechos de los niños, las niñas y adolescentes, a través de los diferentes canales de comunicación.</w:t>
      </w:r>
    </w:p>
    <w:p w14:paraId="3EF03B53"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p>
    <w:p w14:paraId="2120B34D"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r w:rsidRPr="00D316A5">
        <w:rPr>
          <w:rFonts w:ascii="Arial" w:hAnsi="Arial" w:cs="Arial"/>
          <w:i/>
          <w:sz w:val="20"/>
          <w:szCs w:val="20"/>
        </w:rPr>
        <w:t>4. Ejercer la secretaría técnica del Comité Técnico Consultivo Nacional para el Restablecimiento de Derechos de los niños, las niñas y adolescentes.</w:t>
      </w:r>
    </w:p>
    <w:p w14:paraId="7E8B43C5"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p>
    <w:p w14:paraId="7E1E837B" w14:textId="77777777" w:rsidR="00481486" w:rsidRPr="00D316A5" w:rsidRDefault="00ED136E" w:rsidP="00BE2383">
      <w:pPr>
        <w:pStyle w:val="NormalWeb"/>
        <w:spacing w:before="0" w:beforeAutospacing="0" w:after="0" w:afterAutospacing="0"/>
        <w:ind w:left="709"/>
        <w:jc w:val="both"/>
        <w:rPr>
          <w:rFonts w:ascii="Arial" w:hAnsi="Arial" w:cs="Arial"/>
          <w:i/>
          <w:sz w:val="20"/>
          <w:szCs w:val="20"/>
        </w:rPr>
      </w:pPr>
      <w:r w:rsidRPr="00D316A5">
        <w:rPr>
          <w:rFonts w:ascii="Arial" w:hAnsi="Arial" w:cs="Arial"/>
          <w:i/>
          <w:sz w:val="20"/>
          <w:szCs w:val="20"/>
        </w:rPr>
        <w:t>5. Participar cuando se requiera, en los Comités Consultivos para el Restablecimiento de Derechos en el nivel Regional y Zonal, con el objetivo de brindar orientación, asistencia técnica y recomendaciones técnico-jurídicas a las Autoridades Administrativas frente a los procesos y trámites objeto de estudio.</w:t>
      </w:r>
    </w:p>
    <w:p w14:paraId="67E1DB12" w14:textId="77777777" w:rsidR="00481486" w:rsidRPr="00D316A5" w:rsidRDefault="00481486" w:rsidP="00BE2383">
      <w:pPr>
        <w:pStyle w:val="NormalWeb"/>
        <w:spacing w:before="0" w:beforeAutospacing="0" w:after="0" w:afterAutospacing="0"/>
        <w:ind w:left="709"/>
        <w:jc w:val="both"/>
        <w:rPr>
          <w:rFonts w:ascii="Arial" w:hAnsi="Arial" w:cs="Arial"/>
          <w:i/>
          <w:sz w:val="20"/>
          <w:szCs w:val="20"/>
        </w:rPr>
      </w:pPr>
    </w:p>
    <w:p w14:paraId="24F31353" w14:textId="77777777" w:rsidR="00481486" w:rsidRPr="00D316A5" w:rsidRDefault="00481486" w:rsidP="00BE2383">
      <w:pPr>
        <w:pStyle w:val="NormalWeb"/>
        <w:spacing w:before="0" w:beforeAutospacing="0" w:after="0" w:afterAutospacing="0"/>
        <w:ind w:left="709"/>
        <w:jc w:val="both"/>
        <w:rPr>
          <w:rFonts w:ascii="Arial" w:hAnsi="Arial" w:cs="Arial"/>
          <w:i/>
          <w:sz w:val="20"/>
          <w:szCs w:val="20"/>
        </w:rPr>
      </w:pPr>
      <w:r w:rsidRPr="00D316A5">
        <w:rPr>
          <w:rFonts w:ascii="Arial" w:hAnsi="Arial" w:cs="Arial"/>
          <w:i/>
          <w:sz w:val="20"/>
          <w:szCs w:val="20"/>
        </w:rPr>
        <w:t>6. Poner en conocimiento de las Direcciones Regionales, las quejas, reclamos y solicitudes realizadas frente a trámites de restablecimiento de derechos que requieran el análisis y asistencia técnica en el marco del Comité Consultivo para el restablecimiento de derechos a nivel Regional y/o Nacional.</w:t>
      </w:r>
    </w:p>
    <w:p w14:paraId="55537D66" w14:textId="77777777" w:rsidR="00481486" w:rsidRPr="00D316A5" w:rsidRDefault="00481486" w:rsidP="00BE2383">
      <w:pPr>
        <w:pStyle w:val="NormalWeb"/>
        <w:spacing w:before="0" w:beforeAutospacing="0" w:after="0" w:afterAutospacing="0"/>
        <w:ind w:left="709"/>
        <w:jc w:val="both"/>
        <w:rPr>
          <w:rFonts w:ascii="Arial" w:hAnsi="Arial" w:cs="Arial"/>
          <w:i/>
          <w:sz w:val="20"/>
          <w:szCs w:val="20"/>
        </w:rPr>
      </w:pPr>
    </w:p>
    <w:p w14:paraId="32906EC7" w14:textId="6960D415" w:rsidR="00481486" w:rsidRPr="00D316A5" w:rsidRDefault="00481486" w:rsidP="00BE2383">
      <w:pPr>
        <w:pStyle w:val="NormalWeb"/>
        <w:spacing w:before="0" w:beforeAutospacing="0" w:after="0" w:afterAutospacing="0"/>
        <w:ind w:left="709"/>
        <w:jc w:val="both"/>
        <w:rPr>
          <w:rFonts w:ascii="Arial" w:hAnsi="Arial" w:cs="Arial"/>
          <w:i/>
          <w:sz w:val="20"/>
          <w:szCs w:val="20"/>
        </w:rPr>
      </w:pPr>
      <w:r w:rsidRPr="00D316A5">
        <w:rPr>
          <w:rFonts w:ascii="Arial" w:hAnsi="Arial" w:cs="Arial"/>
          <w:i/>
          <w:sz w:val="20"/>
          <w:szCs w:val="20"/>
        </w:rPr>
        <w:t>7. Realizar seguimientos a las regionales sobre las estrategias establecidas por la Dirección de Protección, que tienen como objetivo movilizar e impulsar los procesos administrativos de restablecimiento de derechos de los niños, niñas y adolescentes y depurar el sistema de información misional-SIM.</w:t>
      </w:r>
    </w:p>
    <w:p w14:paraId="42B50797" w14:textId="77777777" w:rsidR="00481486" w:rsidRPr="00D316A5" w:rsidRDefault="00481486" w:rsidP="00BE2383">
      <w:pPr>
        <w:pStyle w:val="NormalWeb"/>
        <w:spacing w:before="0" w:beforeAutospacing="0" w:after="0" w:afterAutospacing="0"/>
        <w:ind w:left="709"/>
        <w:jc w:val="both"/>
        <w:rPr>
          <w:rFonts w:ascii="Arial" w:hAnsi="Arial" w:cs="Arial"/>
          <w:i/>
          <w:sz w:val="20"/>
          <w:szCs w:val="20"/>
        </w:rPr>
      </w:pPr>
    </w:p>
    <w:p w14:paraId="1D618522" w14:textId="69F6A6C6" w:rsidR="00481486" w:rsidRPr="00D316A5" w:rsidRDefault="00481486" w:rsidP="00BE2383">
      <w:pPr>
        <w:pStyle w:val="NormalWeb"/>
        <w:spacing w:before="0" w:beforeAutospacing="0" w:after="0" w:afterAutospacing="0"/>
        <w:ind w:left="709"/>
        <w:jc w:val="both"/>
        <w:rPr>
          <w:rFonts w:ascii="Arial" w:hAnsi="Arial" w:cs="Arial"/>
          <w:i/>
          <w:sz w:val="20"/>
          <w:szCs w:val="20"/>
        </w:rPr>
      </w:pPr>
      <w:r w:rsidRPr="00D316A5">
        <w:rPr>
          <w:rFonts w:ascii="Arial" w:hAnsi="Arial" w:cs="Arial"/>
          <w:i/>
          <w:sz w:val="20"/>
          <w:szCs w:val="20"/>
        </w:rPr>
        <w:t>8. Proyectar los documentos que orientan el rol de los profesionales que conforman el Equipo Técnico Interdisciplinario de las Defensorías y Comisarías de Familia en el Proceso Administrativo de Restablecimiento de Derechos.</w:t>
      </w:r>
    </w:p>
    <w:p w14:paraId="73097939"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r w:rsidRPr="00D316A5">
        <w:rPr>
          <w:rFonts w:ascii="Arial" w:hAnsi="Arial" w:cs="Arial"/>
          <w:i/>
          <w:sz w:val="20"/>
          <w:szCs w:val="20"/>
        </w:rPr>
        <w:t>(…)</w:t>
      </w:r>
    </w:p>
    <w:p w14:paraId="4D7C77E4" w14:textId="77777777" w:rsidR="00ED136E" w:rsidRPr="00D316A5" w:rsidRDefault="00ED136E" w:rsidP="00BE2383">
      <w:pPr>
        <w:pStyle w:val="NormalWeb"/>
        <w:spacing w:before="0" w:beforeAutospacing="0" w:after="0" w:afterAutospacing="0"/>
        <w:ind w:left="709"/>
        <w:jc w:val="both"/>
        <w:rPr>
          <w:rFonts w:ascii="Arial" w:hAnsi="Arial" w:cs="Arial"/>
          <w:sz w:val="20"/>
          <w:szCs w:val="20"/>
        </w:rPr>
      </w:pPr>
      <w:r w:rsidRPr="00D316A5">
        <w:rPr>
          <w:rFonts w:ascii="Arial" w:hAnsi="Arial" w:cs="Arial"/>
          <w:i/>
          <w:sz w:val="20"/>
          <w:szCs w:val="20"/>
        </w:rPr>
        <w:t>16. Las demás que le sean asignadas por la Dirección General y la Dirección de Protección, que correspondan a la naturaleza del grupo.”</w:t>
      </w:r>
      <w:r w:rsidRPr="00D316A5">
        <w:rPr>
          <w:rFonts w:ascii="Arial" w:hAnsi="Arial" w:cs="Arial"/>
          <w:sz w:val="20"/>
          <w:szCs w:val="20"/>
        </w:rPr>
        <w:t xml:space="preserve"> (Subrayado fuera de texto)</w:t>
      </w:r>
    </w:p>
    <w:p w14:paraId="3B104D28" w14:textId="77777777" w:rsidR="00ED136E" w:rsidRPr="00D316A5" w:rsidRDefault="00ED136E" w:rsidP="00BE2383">
      <w:pPr>
        <w:spacing w:after="0" w:line="240" w:lineRule="auto"/>
        <w:jc w:val="both"/>
        <w:rPr>
          <w:rFonts w:ascii="Arial" w:hAnsi="Arial" w:cs="Arial"/>
        </w:rPr>
      </w:pPr>
    </w:p>
    <w:p w14:paraId="7B6CBD83" w14:textId="31BDB4F1" w:rsidR="00ED136E" w:rsidRPr="00D316A5" w:rsidRDefault="00537FEE" w:rsidP="00BE2383">
      <w:pPr>
        <w:spacing w:after="0" w:line="240" w:lineRule="auto"/>
        <w:jc w:val="both"/>
        <w:rPr>
          <w:rFonts w:ascii="Arial" w:hAnsi="Arial" w:cs="Arial"/>
        </w:rPr>
      </w:pPr>
      <w:r w:rsidRPr="00D316A5">
        <w:rPr>
          <w:rFonts w:ascii="Arial" w:hAnsi="Arial" w:cs="Arial"/>
        </w:rPr>
        <w:t>Finalmente,</w:t>
      </w:r>
      <w:r w:rsidR="00ED136E" w:rsidRPr="00D316A5">
        <w:rPr>
          <w:rFonts w:ascii="Arial" w:hAnsi="Arial" w:cs="Arial"/>
        </w:rPr>
        <w:t xml:space="preserve"> la</w:t>
      </w:r>
      <w:r w:rsidR="00ED136E" w:rsidRPr="00D316A5">
        <w:rPr>
          <w:rFonts w:ascii="Arial" w:hAnsi="Arial" w:cs="Arial"/>
          <w:b/>
        </w:rPr>
        <w:t xml:space="preserve"> </w:t>
      </w:r>
      <w:r w:rsidR="00ED136E" w:rsidRPr="00D316A5">
        <w:rPr>
          <w:rFonts w:ascii="Arial" w:hAnsi="Arial" w:cs="Arial"/>
        </w:rPr>
        <w:t>Resolución N</w:t>
      </w:r>
      <w:r w:rsidR="000874BE">
        <w:rPr>
          <w:rFonts w:ascii="Arial" w:hAnsi="Arial" w:cs="Arial"/>
        </w:rPr>
        <w:t>o.</w:t>
      </w:r>
      <w:r w:rsidR="008D4A8B">
        <w:rPr>
          <w:rFonts w:ascii="Arial" w:hAnsi="Arial" w:cs="Arial"/>
        </w:rPr>
        <w:t xml:space="preserve"> </w:t>
      </w:r>
      <w:r w:rsidR="00ED136E" w:rsidRPr="00D316A5">
        <w:rPr>
          <w:rFonts w:ascii="Arial" w:hAnsi="Arial" w:cs="Arial"/>
        </w:rPr>
        <w:t>11199 de 2019, por la cual se reglament</w:t>
      </w:r>
      <w:r w:rsidR="0029736E" w:rsidRPr="00D316A5">
        <w:rPr>
          <w:rFonts w:ascii="Arial" w:hAnsi="Arial" w:cs="Arial"/>
        </w:rPr>
        <w:t>a</w:t>
      </w:r>
      <w:r w:rsidR="00ED136E" w:rsidRPr="00D316A5">
        <w:rPr>
          <w:rFonts w:ascii="Arial" w:hAnsi="Arial" w:cs="Arial"/>
        </w:rPr>
        <w:t xml:space="preserve"> el mecanismo para dar el aval de ampliación del término de seguimiento de los Procesos Administrativos de Restablecimiento de Derechos (PARD)</w:t>
      </w:r>
      <w:r w:rsidR="00936FB2" w:rsidRPr="00D316A5">
        <w:rPr>
          <w:rFonts w:ascii="Arial" w:hAnsi="Arial" w:cs="Arial"/>
        </w:rPr>
        <w:t>,</w:t>
      </w:r>
      <w:r w:rsidR="00ED136E" w:rsidRPr="00D316A5">
        <w:rPr>
          <w:rFonts w:ascii="Arial" w:hAnsi="Arial" w:cs="Arial"/>
        </w:rPr>
        <w:t xml:space="preserve"> </w:t>
      </w:r>
      <w:r w:rsidR="00936FB2" w:rsidRPr="00D316A5">
        <w:rPr>
          <w:rFonts w:ascii="Arial" w:hAnsi="Arial" w:cs="Arial"/>
        </w:rPr>
        <w:t xml:space="preserve">establecido </w:t>
      </w:r>
      <w:r w:rsidR="00ED136E" w:rsidRPr="00D316A5">
        <w:rPr>
          <w:rFonts w:ascii="Arial" w:hAnsi="Arial" w:cs="Arial"/>
        </w:rPr>
        <w:t>por el artículo 208 de la Ley 1955 de 2019</w:t>
      </w:r>
      <w:r w:rsidR="00ED136E" w:rsidRPr="00D316A5">
        <w:rPr>
          <w:rStyle w:val="Refdenotaalpie"/>
          <w:rFonts w:ascii="Arial" w:hAnsi="Arial" w:cs="Arial"/>
        </w:rPr>
        <w:footnoteReference w:id="5"/>
      </w:r>
      <w:r w:rsidR="00936FB2" w:rsidRPr="00D316A5">
        <w:rPr>
          <w:rFonts w:ascii="Arial" w:hAnsi="Arial" w:cs="Arial"/>
        </w:rPr>
        <w:t>,</w:t>
      </w:r>
      <w:r w:rsidR="0029736E" w:rsidRPr="00D316A5">
        <w:rPr>
          <w:rFonts w:ascii="Arial" w:hAnsi="Arial" w:cs="Arial"/>
        </w:rPr>
        <w:t xml:space="preserve"> señala</w:t>
      </w:r>
      <w:r w:rsidR="00ED136E" w:rsidRPr="00D316A5">
        <w:rPr>
          <w:rFonts w:ascii="Arial" w:hAnsi="Arial" w:cs="Arial"/>
        </w:rPr>
        <w:t>:</w:t>
      </w:r>
    </w:p>
    <w:p w14:paraId="15AF3D75" w14:textId="77777777" w:rsidR="00ED136E" w:rsidRPr="00D316A5" w:rsidRDefault="00ED136E" w:rsidP="00BE2383">
      <w:pPr>
        <w:spacing w:after="0" w:line="240" w:lineRule="auto"/>
        <w:jc w:val="both"/>
        <w:rPr>
          <w:rFonts w:ascii="Arial" w:hAnsi="Arial" w:cs="Arial"/>
        </w:rPr>
      </w:pPr>
    </w:p>
    <w:p w14:paraId="7ED57682"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r w:rsidRPr="00D316A5">
        <w:rPr>
          <w:rFonts w:ascii="Arial" w:hAnsi="Arial" w:cs="Arial"/>
          <w:b/>
          <w:bCs/>
          <w:i/>
          <w:sz w:val="20"/>
          <w:szCs w:val="20"/>
        </w:rPr>
        <w:t>ARTÍCULO 1o. REGLAMENTACIÓN DEL MECANISMO.</w:t>
      </w:r>
      <w:r w:rsidRPr="00D316A5">
        <w:rPr>
          <w:rFonts w:ascii="Arial" w:hAnsi="Arial" w:cs="Arial"/>
          <w:i/>
          <w:sz w:val="20"/>
          <w:szCs w:val="20"/>
        </w:rPr>
        <w:t> Reglaméntese el mecanismo para dar el aval de ampliación del término de seguimiento del Proceso Administrativo de Restablecimiento de Derechos, en cumplimiento de lo establecido en el artículo </w:t>
      </w:r>
      <w:hyperlink r:id="rId13" w:anchor="208" w:history="1">
        <w:r w:rsidRPr="00D316A5">
          <w:rPr>
            <w:rStyle w:val="Hipervnculo"/>
            <w:rFonts w:ascii="Arial" w:hAnsi="Arial" w:cs="Arial"/>
            <w:i/>
            <w:color w:val="auto"/>
            <w:sz w:val="20"/>
            <w:szCs w:val="20"/>
            <w:u w:val="none"/>
          </w:rPr>
          <w:t>208</w:t>
        </w:r>
      </w:hyperlink>
      <w:r w:rsidRPr="00D316A5">
        <w:rPr>
          <w:rFonts w:ascii="Arial" w:hAnsi="Arial" w:cs="Arial"/>
          <w:i/>
          <w:sz w:val="20"/>
          <w:szCs w:val="20"/>
        </w:rPr>
        <w:t xml:space="preserve"> de la Ley 1955 de 2019, con el fin de decidir sobre el otorgamiento o no del respectivo aval, </w:t>
      </w:r>
      <w:proofErr w:type="gramStart"/>
      <w:r w:rsidRPr="00D316A5">
        <w:rPr>
          <w:rFonts w:ascii="Arial" w:hAnsi="Arial" w:cs="Arial"/>
          <w:i/>
          <w:sz w:val="20"/>
          <w:szCs w:val="20"/>
        </w:rPr>
        <w:t>de  acuerdo</w:t>
      </w:r>
      <w:proofErr w:type="gramEnd"/>
      <w:r w:rsidRPr="00D316A5">
        <w:rPr>
          <w:rFonts w:ascii="Arial" w:hAnsi="Arial" w:cs="Arial"/>
          <w:i/>
          <w:sz w:val="20"/>
          <w:szCs w:val="20"/>
        </w:rPr>
        <w:t xml:space="preserve"> con las condiciones y requisitos establecidos para ello en la presente resolución.</w:t>
      </w:r>
    </w:p>
    <w:p w14:paraId="5E306497" w14:textId="77777777" w:rsidR="00ED136E" w:rsidRPr="00D316A5" w:rsidRDefault="00D243C2" w:rsidP="00BE2383">
      <w:pPr>
        <w:spacing w:after="0" w:line="240" w:lineRule="auto"/>
        <w:ind w:left="709"/>
        <w:rPr>
          <w:rFonts w:ascii="Arial" w:hAnsi="Arial" w:cs="Arial"/>
          <w:i/>
          <w:sz w:val="20"/>
          <w:szCs w:val="20"/>
        </w:rPr>
      </w:pPr>
      <w:hyperlink r:id="rId14" w:anchor="top" w:tooltip="Ir al inicio" w:history="1"/>
      <w:bookmarkStart w:id="1" w:name="2"/>
    </w:p>
    <w:p w14:paraId="018FEF5E" w14:textId="3AD4A1E1" w:rsidR="00ED136E" w:rsidRPr="000874BE" w:rsidRDefault="00ED136E" w:rsidP="00BE2383">
      <w:pPr>
        <w:spacing w:after="0" w:line="240" w:lineRule="auto"/>
        <w:ind w:left="709"/>
        <w:jc w:val="both"/>
        <w:rPr>
          <w:rFonts w:ascii="Arial" w:hAnsi="Arial" w:cs="Arial"/>
          <w:iCs/>
          <w:sz w:val="20"/>
          <w:szCs w:val="20"/>
        </w:rPr>
      </w:pPr>
      <w:r w:rsidRPr="00D316A5">
        <w:rPr>
          <w:rFonts w:ascii="Arial" w:hAnsi="Arial" w:cs="Arial"/>
          <w:b/>
          <w:bCs/>
          <w:i/>
          <w:sz w:val="20"/>
          <w:szCs w:val="20"/>
        </w:rPr>
        <w:lastRenderedPageBreak/>
        <w:t>ARTÍCULO 2o. OBJETIVO DEL MECANISMO.</w:t>
      </w:r>
      <w:bookmarkEnd w:id="1"/>
      <w:r w:rsidRPr="00D316A5">
        <w:rPr>
          <w:rFonts w:ascii="Arial" w:hAnsi="Arial" w:cs="Arial"/>
          <w:i/>
          <w:sz w:val="20"/>
          <w:szCs w:val="20"/>
        </w:rPr>
        <w:t xml:space="preserve"> Analizar los Procesos Administrativos de Restablecimiento de Derechos que sean puestos a consideración del Director Regional o de la Dirección de Protección, según sea el caso, </w:t>
      </w:r>
      <w:r w:rsidRPr="000874BE">
        <w:rPr>
          <w:rFonts w:ascii="Arial" w:hAnsi="Arial" w:cs="Arial"/>
          <w:b/>
          <w:bCs/>
          <w:i/>
          <w:sz w:val="20"/>
          <w:szCs w:val="20"/>
        </w:rPr>
        <w:t>para determinar la pertinencia de otorgar a la autoridad administrativa, el aval para la ampliación del término de seguimiento, cuando se advierta que de acuerdo con las situaciones fácticas y probatorias que reposan en el expediente, no es posible definir de fondo el proceso en el término máximo establecido en la Ley </w:t>
      </w:r>
      <w:hyperlink r:id="rId15" w:anchor="INICIO" w:history="1">
        <w:r w:rsidRPr="000874BE">
          <w:rPr>
            <w:rStyle w:val="Hipervnculo"/>
            <w:rFonts w:ascii="Arial" w:hAnsi="Arial" w:cs="Arial"/>
            <w:b/>
            <w:bCs/>
            <w:i/>
            <w:color w:val="auto"/>
            <w:sz w:val="20"/>
            <w:szCs w:val="20"/>
            <w:u w:val="none"/>
          </w:rPr>
          <w:t>1098</w:t>
        </w:r>
      </w:hyperlink>
      <w:r w:rsidRPr="000874BE">
        <w:rPr>
          <w:rFonts w:ascii="Arial" w:hAnsi="Arial" w:cs="Arial"/>
          <w:b/>
          <w:bCs/>
          <w:i/>
          <w:sz w:val="20"/>
          <w:szCs w:val="20"/>
        </w:rPr>
        <w:t> de 2006, a pesar de haber cumplido con cada una de las etapas procesales</w:t>
      </w:r>
      <w:r w:rsidRPr="00D316A5">
        <w:rPr>
          <w:rFonts w:ascii="Arial" w:hAnsi="Arial" w:cs="Arial"/>
          <w:i/>
          <w:sz w:val="20"/>
          <w:szCs w:val="20"/>
        </w:rPr>
        <w:t xml:space="preserve">. </w:t>
      </w:r>
      <w:r w:rsidR="000874BE">
        <w:rPr>
          <w:rFonts w:ascii="Arial" w:hAnsi="Arial" w:cs="Arial"/>
          <w:iCs/>
          <w:sz w:val="20"/>
          <w:szCs w:val="20"/>
        </w:rPr>
        <w:t>(Negrillas fuera del texto).</w:t>
      </w:r>
    </w:p>
    <w:p w14:paraId="09DE9BF4" w14:textId="77777777" w:rsidR="00ED136E" w:rsidRPr="00D316A5" w:rsidRDefault="00ED136E" w:rsidP="00BE2383">
      <w:pPr>
        <w:pStyle w:val="NormalWeb"/>
        <w:spacing w:before="0" w:beforeAutospacing="0" w:after="0" w:afterAutospacing="0"/>
        <w:ind w:left="709"/>
        <w:jc w:val="both"/>
        <w:rPr>
          <w:rFonts w:ascii="Arial" w:hAnsi="Arial" w:cs="Arial"/>
          <w:i/>
          <w:sz w:val="20"/>
          <w:szCs w:val="20"/>
        </w:rPr>
      </w:pPr>
      <w:r w:rsidRPr="00D316A5">
        <w:rPr>
          <w:rFonts w:ascii="Arial" w:hAnsi="Arial" w:cs="Arial"/>
          <w:i/>
          <w:sz w:val="20"/>
          <w:szCs w:val="20"/>
        </w:rPr>
        <w:t>(…)</w:t>
      </w:r>
    </w:p>
    <w:p w14:paraId="3C1198F6" w14:textId="1AE114D1" w:rsidR="00ED136E" w:rsidRPr="00D316A5" w:rsidRDefault="00ED136E" w:rsidP="00BE2383">
      <w:pPr>
        <w:spacing w:after="0" w:line="240" w:lineRule="auto"/>
        <w:ind w:left="709"/>
        <w:jc w:val="both"/>
        <w:rPr>
          <w:rFonts w:ascii="Arial" w:hAnsi="Arial" w:cs="Arial"/>
          <w:sz w:val="20"/>
          <w:szCs w:val="20"/>
        </w:rPr>
      </w:pPr>
      <w:r w:rsidRPr="00D316A5">
        <w:rPr>
          <w:rFonts w:ascii="Arial" w:hAnsi="Arial" w:cs="Arial"/>
          <w:b/>
          <w:bCs/>
          <w:i/>
          <w:sz w:val="20"/>
          <w:szCs w:val="20"/>
        </w:rPr>
        <w:t>ARTÍCULO 10. SOLICITUD DE PRÓRROGAS ADICIONALES.</w:t>
      </w:r>
      <w:r w:rsidRPr="00D316A5">
        <w:rPr>
          <w:rFonts w:ascii="Arial" w:hAnsi="Arial" w:cs="Arial"/>
          <w:i/>
          <w:sz w:val="20"/>
          <w:szCs w:val="20"/>
        </w:rPr>
        <w:t xml:space="preserve"> De manera excepcional, si la autoridad administrativa advierte que en atención a las características particulares del caso, requiere una ampliación adicional a la ya avalada por el Director Regional, deberá presentar por lo menos con un mes de antelación al vencimiento de la prórroga otorgada por el Director Regional, una nueva solicitud ante la Dirección de Protección de la Sede de la Dirección General del ICBF, cumpliendo todos los requisitos y etapas señaladas para la presentación de la primera solicitud de aval.”</w:t>
      </w:r>
      <w:r w:rsidRPr="00D316A5">
        <w:rPr>
          <w:rFonts w:ascii="Arial" w:hAnsi="Arial" w:cs="Arial"/>
          <w:sz w:val="20"/>
          <w:szCs w:val="20"/>
        </w:rPr>
        <w:t xml:space="preserve">  </w:t>
      </w:r>
    </w:p>
    <w:p w14:paraId="0A25F8FD" w14:textId="77777777" w:rsidR="00ED136E" w:rsidRPr="00D316A5" w:rsidRDefault="00ED136E" w:rsidP="00BE2383">
      <w:pPr>
        <w:spacing w:after="0" w:line="240" w:lineRule="auto"/>
        <w:jc w:val="both"/>
        <w:rPr>
          <w:rFonts w:ascii="Arial" w:hAnsi="Arial" w:cs="Arial"/>
        </w:rPr>
      </w:pPr>
    </w:p>
    <w:p w14:paraId="6DCDB502" w14:textId="28DE9792" w:rsidR="00ED136E" w:rsidRPr="00D316A5" w:rsidRDefault="00ED136E" w:rsidP="00BE2383">
      <w:pPr>
        <w:spacing w:after="0" w:line="240" w:lineRule="auto"/>
        <w:jc w:val="both"/>
        <w:rPr>
          <w:rFonts w:ascii="Arial" w:hAnsi="Arial" w:cs="Arial"/>
        </w:rPr>
      </w:pPr>
      <w:r w:rsidRPr="00D316A5">
        <w:rPr>
          <w:rFonts w:ascii="Arial" w:eastAsia="Times New Roman" w:hAnsi="Arial" w:cs="Arial"/>
          <w:lang w:eastAsia="es-CO"/>
        </w:rPr>
        <w:t xml:space="preserve">De acuerdo con las disposiciones </w:t>
      </w:r>
      <w:proofErr w:type="gramStart"/>
      <w:r w:rsidRPr="00D316A5">
        <w:rPr>
          <w:rFonts w:ascii="Arial" w:eastAsia="Times New Roman" w:hAnsi="Arial" w:cs="Arial"/>
          <w:lang w:eastAsia="es-CO"/>
        </w:rPr>
        <w:t>citadas ,</w:t>
      </w:r>
      <w:proofErr w:type="gramEnd"/>
      <w:r w:rsidRPr="00D316A5">
        <w:rPr>
          <w:rFonts w:ascii="Arial" w:eastAsia="Times New Roman" w:hAnsi="Arial" w:cs="Arial"/>
          <w:lang w:eastAsia="es-CO"/>
        </w:rPr>
        <w:t xml:space="preserve"> el ejercicio funcional de la Dirección de Protección</w:t>
      </w:r>
      <w:r w:rsidRPr="00D316A5">
        <w:rPr>
          <w:rFonts w:ascii="Arial" w:hAnsi="Arial" w:cs="Arial"/>
        </w:rPr>
        <w:t xml:space="preserve"> está debidamente reglamentado a efecto de</w:t>
      </w:r>
      <w:r w:rsidR="004F4218">
        <w:rPr>
          <w:rFonts w:ascii="Arial" w:hAnsi="Arial" w:cs="Arial"/>
        </w:rPr>
        <w:t>:</w:t>
      </w:r>
      <w:r w:rsidRPr="00D316A5">
        <w:rPr>
          <w:rFonts w:ascii="Arial" w:hAnsi="Arial" w:cs="Arial"/>
        </w:rPr>
        <w:t xml:space="preserve"> (i) </w:t>
      </w:r>
      <w:r w:rsidR="00C05083" w:rsidRPr="00D316A5">
        <w:rPr>
          <w:rFonts w:ascii="Arial" w:hAnsi="Arial" w:cs="Arial"/>
        </w:rPr>
        <w:t>d</w:t>
      </w:r>
      <w:r w:rsidRPr="00D316A5">
        <w:rPr>
          <w:rFonts w:ascii="Arial" w:hAnsi="Arial" w:cs="Arial"/>
        </w:rPr>
        <w:t>efinir los lineamientos generales y brindar asesoría y asistencia a las autoridades administrativas y a sus equipos interdisciplinarios en materia de restablecimiento de los derechos de los niños, niñas y adolescentes</w:t>
      </w:r>
      <w:r w:rsidR="00C05083" w:rsidRPr="00D316A5">
        <w:rPr>
          <w:rFonts w:ascii="Arial" w:hAnsi="Arial" w:cs="Arial"/>
        </w:rPr>
        <w:t>; así como</w:t>
      </w:r>
      <w:r w:rsidRPr="00D316A5">
        <w:rPr>
          <w:rFonts w:ascii="Arial" w:hAnsi="Arial" w:cs="Arial"/>
        </w:rPr>
        <w:t xml:space="preserve"> (ii) determinar la pertinencia de otorgar a la autoridad administrativa el aval para las prórrogas adicionales del PARD. </w:t>
      </w:r>
    </w:p>
    <w:p w14:paraId="07A60949" w14:textId="77777777" w:rsidR="00ED136E" w:rsidRPr="00D316A5" w:rsidRDefault="00ED136E" w:rsidP="00BE2383">
      <w:pPr>
        <w:spacing w:after="0" w:line="240" w:lineRule="auto"/>
        <w:jc w:val="both"/>
        <w:rPr>
          <w:rFonts w:ascii="Arial" w:hAnsi="Arial" w:cs="Arial"/>
        </w:rPr>
      </w:pPr>
    </w:p>
    <w:p w14:paraId="69D95BFD" w14:textId="4DCD017B" w:rsidR="00D50432" w:rsidRPr="00D316A5" w:rsidRDefault="00D50432" w:rsidP="00BE2383">
      <w:pPr>
        <w:pStyle w:val="Prrafodelista"/>
        <w:numPr>
          <w:ilvl w:val="0"/>
          <w:numId w:val="6"/>
        </w:numPr>
        <w:spacing w:after="0" w:line="240" w:lineRule="auto"/>
        <w:jc w:val="both"/>
        <w:rPr>
          <w:rFonts w:ascii="Arial" w:hAnsi="Arial" w:cs="Arial"/>
          <w:b/>
        </w:rPr>
      </w:pPr>
      <w:r w:rsidRPr="00D316A5">
        <w:rPr>
          <w:rFonts w:ascii="Arial" w:hAnsi="Arial" w:cs="Arial"/>
          <w:b/>
        </w:rPr>
        <w:t>Análisis sobre</w:t>
      </w:r>
      <w:r w:rsidR="00FA0C16" w:rsidRPr="00D316A5">
        <w:rPr>
          <w:rFonts w:ascii="Arial" w:hAnsi="Arial" w:cs="Arial"/>
          <w:b/>
        </w:rPr>
        <w:t xml:space="preserve"> los conflictos de interés y</w:t>
      </w:r>
      <w:r w:rsidRPr="00D316A5">
        <w:rPr>
          <w:rFonts w:ascii="Arial" w:hAnsi="Arial" w:cs="Arial"/>
          <w:b/>
        </w:rPr>
        <w:t xml:space="preserve"> las causales de impedimento </w:t>
      </w:r>
    </w:p>
    <w:p w14:paraId="561424AF" w14:textId="77777777" w:rsidR="00D50432" w:rsidRPr="00D316A5" w:rsidRDefault="00D50432" w:rsidP="00BE2383">
      <w:pPr>
        <w:pStyle w:val="Prrafodelista"/>
        <w:spacing w:after="0" w:line="240" w:lineRule="auto"/>
        <w:ind w:left="360"/>
        <w:jc w:val="both"/>
        <w:rPr>
          <w:rFonts w:ascii="Arial" w:hAnsi="Arial" w:cs="Arial"/>
        </w:rPr>
      </w:pPr>
    </w:p>
    <w:p w14:paraId="42ECDED6" w14:textId="7E6981CB" w:rsidR="00B77CF3" w:rsidRPr="00D316A5" w:rsidRDefault="00C05083" w:rsidP="00BE2383">
      <w:pPr>
        <w:spacing w:after="0" w:line="240" w:lineRule="auto"/>
        <w:contextualSpacing/>
        <w:jc w:val="both"/>
        <w:rPr>
          <w:rFonts w:ascii="Arial" w:hAnsi="Arial" w:cs="Arial"/>
          <w:b/>
        </w:rPr>
      </w:pPr>
      <w:r w:rsidRPr="00D316A5">
        <w:rPr>
          <w:rFonts w:ascii="Arial" w:hAnsi="Arial" w:cs="Arial"/>
        </w:rPr>
        <w:t xml:space="preserve">De acuerdo </w:t>
      </w:r>
      <w:r w:rsidR="004F4218">
        <w:rPr>
          <w:rFonts w:ascii="Arial" w:hAnsi="Arial" w:cs="Arial"/>
        </w:rPr>
        <w:t>con</w:t>
      </w:r>
      <w:r w:rsidRPr="00D316A5">
        <w:rPr>
          <w:rFonts w:ascii="Arial" w:hAnsi="Arial" w:cs="Arial"/>
        </w:rPr>
        <w:t xml:space="preserve"> lo planteado en el problema jurídico, e</w:t>
      </w:r>
      <w:r w:rsidR="0081724C" w:rsidRPr="00D316A5">
        <w:rPr>
          <w:rFonts w:ascii="Arial" w:hAnsi="Arial" w:cs="Arial"/>
        </w:rPr>
        <w:t xml:space="preserve">s necesario </w:t>
      </w:r>
      <w:r w:rsidRPr="00D316A5">
        <w:rPr>
          <w:rFonts w:ascii="Arial" w:hAnsi="Arial" w:cs="Arial"/>
        </w:rPr>
        <w:t xml:space="preserve">tener en cuenta </w:t>
      </w:r>
      <w:r w:rsidR="0081724C" w:rsidRPr="00D316A5">
        <w:rPr>
          <w:rFonts w:ascii="Arial" w:hAnsi="Arial" w:cs="Arial"/>
        </w:rPr>
        <w:t xml:space="preserve">las causales de impedimento señaladas en la Ley 1437 de 2011, aplicable a este caso por tratarse </w:t>
      </w:r>
      <w:r w:rsidR="00491FB9" w:rsidRPr="00D316A5">
        <w:rPr>
          <w:rFonts w:ascii="Arial" w:hAnsi="Arial" w:cs="Arial"/>
        </w:rPr>
        <w:t>de una actuación administrativa</w:t>
      </w:r>
      <w:r w:rsidR="00491FB9" w:rsidRPr="00D316A5">
        <w:rPr>
          <w:rStyle w:val="Refdenotaalpie"/>
          <w:rFonts w:ascii="Arial" w:hAnsi="Arial" w:cs="Arial"/>
        </w:rPr>
        <w:footnoteReference w:id="6"/>
      </w:r>
      <w:r w:rsidR="00DC4F6C" w:rsidRPr="00D316A5">
        <w:rPr>
          <w:rFonts w:ascii="Arial" w:hAnsi="Arial" w:cs="Arial"/>
        </w:rPr>
        <w:t>.</w:t>
      </w:r>
      <w:r w:rsidR="00171DE9" w:rsidRPr="00D316A5">
        <w:rPr>
          <w:rFonts w:ascii="Arial" w:hAnsi="Arial" w:cs="Arial"/>
        </w:rPr>
        <w:t xml:space="preserve"> </w:t>
      </w:r>
      <w:r w:rsidR="00491FB9" w:rsidRPr="00D316A5">
        <w:rPr>
          <w:rFonts w:ascii="Arial" w:hAnsi="Arial" w:cs="Arial"/>
        </w:rPr>
        <w:t>E</w:t>
      </w:r>
      <w:r w:rsidR="00B77CF3" w:rsidRPr="00D316A5">
        <w:rPr>
          <w:rFonts w:ascii="Arial" w:hAnsi="Arial" w:cs="Arial"/>
        </w:rPr>
        <w:t xml:space="preserve">stablece </w:t>
      </w:r>
      <w:r w:rsidR="00171DE9" w:rsidRPr="00D316A5">
        <w:rPr>
          <w:rFonts w:ascii="Arial" w:hAnsi="Arial" w:cs="Arial"/>
        </w:rPr>
        <w:t xml:space="preserve">el </w:t>
      </w:r>
      <w:r w:rsidR="00B77CF3" w:rsidRPr="00D316A5">
        <w:rPr>
          <w:rFonts w:ascii="Arial" w:hAnsi="Arial" w:cs="Arial"/>
          <w:b/>
        </w:rPr>
        <w:t>C.P.A.C.A.</w:t>
      </w:r>
      <w:r w:rsidR="00B77CF3" w:rsidRPr="00D316A5">
        <w:rPr>
          <w:rFonts w:ascii="Arial" w:hAnsi="Arial" w:cs="Arial"/>
        </w:rPr>
        <w:t>:</w:t>
      </w:r>
    </w:p>
    <w:p w14:paraId="142D7F60" w14:textId="77777777" w:rsidR="00B77CF3" w:rsidRPr="00D316A5" w:rsidRDefault="00B77CF3" w:rsidP="00BE2383">
      <w:pPr>
        <w:spacing w:after="0" w:line="240" w:lineRule="auto"/>
        <w:contextualSpacing/>
        <w:jc w:val="both"/>
        <w:rPr>
          <w:rFonts w:ascii="Arial" w:hAnsi="Arial" w:cs="Arial"/>
          <w:b/>
          <w:sz w:val="20"/>
          <w:szCs w:val="20"/>
        </w:rPr>
      </w:pPr>
    </w:p>
    <w:p w14:paraId="307C523A" w14:textId="2097BBF0" w:rsidR="00B77CF3" w:rsidRPr="00D316A5" w:rsidRDefault="002C05BA" w:rsidP="00BE2383">
      <w:pPr>
        <w:spacing w:after="0" w:line="240" w:lineRule="auto"/>
        <w:ind w:left="567"/>
        <w:jc w:val="both"/>
        <w:rPr>
          <w:rFonts w:ascii="Arial" w:eastAsia="Times New Roman" w:hAnsi="Arial" w:cs="Arial"/>
          <w:i/>
          <w:sz w:val="20"/>
          <w:szCs w:val="20"/>
          <w:lang w:eastAsia="es-CO"/>
        </w:rPr>
      </w:pPr>
      <w:r w:rsidRPr="00D316A5">
        <w:rPr>
          <w:rFonts w:ascii="Arial" w:eastAsia="Times New Roman" w:hAnsi="Arial" w:cs="Arial"/>
          <w:bCs/>
          <w:i/>
          <w:sz w:val="20"/>
          <w:szCs w:val="20"/>
          <w:lang w:eastAsia="es-CO"/>
        </w:rPr>
        <w:t>“</w:t>
      </w:r>
      <w:r w:rsidR="00B77CF3" w:rsidRPr="00D316A5">
        <w:rPr>
          <w:rFonts w:ascii="Arial" w:eastAsia="Times New Roman" w:hAnsi="Arial" w:cs="Arial"/>
          <w:b/>
          <w:bCs/>
          <w:i/>
          <w:sz w:val="20"/>
          <w:szCs w:val="20"/>
          <w:lang w:eastAsia="es-CO"/>
        </w:rPr>
        <w:t xml:space="preserve">Artículo 11. </w:t>
      </w:r>
      <w:r w:rsidR="00B77CF3" w:rsidRPr="00D316A5">
        <w:rPr>
          <w:rFonts w:ascii="Arial" w:eastAsia="Times New Roman" w:hAnsi="Arial" w:cs="Arial"/>
          <w:b/>
          <w:i/>
          <w:iCs/>
          <w:sz w:val="20"/>
          <w:szCs w:val="20"/>
          <w:lang w:eastAsia="es-CO"/>
        </w:rPr>
        <w:t>Conflictos de interés y causales de impedimento y recusación</w:t>
      </w:r>
      <w:r w:rsidR="00B77CF3" w:rsidRPr="00D316A5">
        <w:rPr>
          <w:rFonts w:ascii="Arial" w:eastAsia="Times New Roman" w:hAnsi="Arial" w:cs="Arial"/>
          <w:i/>
          <w:iCs/>
          <w:sz w:val="20"/>
          <w:szCs w:val="20"/>
          <w:lang w:eastAsia="es-CO"/>
        </w:rPr>
        <w:t>. </w:t>
      </w:r>
      <w:r w:rsidR="00B77CF3" w:rsidRPr="00D316A5">
        <w:rPr>
          <w:rFonts w:ascii="Arial" w:eastAsia="Times New Roman" w:hAnsi="Arial" w:cs="Arial"/>
          <w:i/>
          <w:sz w:val="20"/>
          <w:szCs w:val="20"/>
          <w:lang w:eastAsia="es-CO"/>
        </w:rPr>
        <w:t xml:space="preserve">Cuando el interés general propio de la función pública entre en conflicto con el interés particular y directo del servidor público, este deberá declararse impedido. Todo servidor público que deba </w:t>
      </w:r>
      <w:r w:rsidR="00B77CF3" w:rsidRPr="00D316A5">
        <w:rPr>
          <w:rFonts w:ascii="Arial" w:eastAsia="Times New Roman" w:hAnsi="Arial" w:cs="Arial"/>
          <w:i/>
          <w:sz w:val="20"/>
          <w:szCs w:val="20"/>
          <w:lang w:eastAsia="es-CO"/>
        </w:rPr>
        <w:lastRenderedPageBreak/>
        <w:t>adelantar o sustanciar actuaciones administrativas, realizar investigaciones, practicar pruebas o pronunciar decisiones definitivas podrá ser recusado si no manifiesta su impedimento por: </w:t>
      </w:r>
    </w:p>
    <w:p w14:paraId="2C6B586F" w14:textId="77777777" w:rsidR="00B77CF3" w:rsidRPr="00D316A5" w:rsidRDefault="00B77CF3" w:rsidP="00BE2383">
      <w:pPr>
        <w:spacing w:after="0" w:line="240" w:lineRule="auto"/>
        <w:ind w:left="567"/>
        <w:jc w:val="both"/>
        <w:rPr>
          <w:rFonts w:ascii="Arial" w:eastAsia="Times New Roman" w:hAnsi="Arial" w:cs="Arial"/>
          <w:i/>
          <w:sz w:val="20"/>
          <w:szCs w:val="20"/>
          <w:lang w:eastAsia="es-CO"/>
        </w:rPr>
      </w:pPr>
      <w:r w:rsidRPr="00D316A5">
        <w:rPr>
          <w:rFonts w:ascii="Arial" w:eastAsia="Times New Roman" w:hAnsi="Arial" w:cs="Arial"/>
          <w:i/>
          <w:sz w:val="20"/>
          <w:szCs w:val="20"/>
          <w:lang w:eastAsia="es-CO"/>
        </w:rPr>
        <w:t>(…)  </w:t>
      </w:r>
    </w:p>
    <w:p w14:paraId="2D2C5A3D" w14:textId="52A1431C" w:rsidR="00B77CF3" w:rsidRPr="00D316A5" w:rsidRDefault="00B77CF3" w:rsidP="00BE2383">
      <w:pPr>
        <w:spacing w:after="0" w:line="240" w:lineRule="auto"/>
        <w:ind w:left="567"/>
        <w:jc w:val="both"/>
        <w:rPr>
          <w:rFonts w:ascii="Arial" w:eastAsia="Times New Roman" w:hAnsi="Arial" w:cs="Arial"/>
          <w:i/>
          <w:sz w:val="20"/>
          <w:szCs w:val="20"/>
          <w:lang w:eastAsia="es-CO"/>
        </w:rPr>
      </w:pPr>
      <w:r w:rsidRPr="00D316A5">
        <w:rPr>
          <w:rFonts w:ascii="Arial" w:eastAsia="Times New Roman" w:hAnsi="Arial" w:cs="Arial"/>
          <w:b/>
          <w:i/>
          <w:sz w:val="20"/>
          <w:szCs w:val="20"/>
          <w:lang w:eastAsia="es-CO"/>
        </w:rPr>
        <w:t>2.</w:t>
      </w:r>
      <w:r w:rsidRPr="00D316A5">
        <w:rPr>
          <w:rFonts w:ascii="Arial" w:eastAsia="Times New Roman" w:hAnsi="Arial" w:cs="Arial"/>
          <w:i/>
          <w:sz w:val="20"/>
          <w:szCs w:val="20"/>
          <w:lang w:eastAsia="es-CO"/>
        </w:rPr>
        <w:t xml:space="preserve"> </w:t>
      </w:r>
      <w:r w:rsidRPr="00D316A5">
        <w:rPr>
          <w:rFonts w:ascii="Arial" w:eastAsia="Times New Roman" w:hAnsi="Arial" w:cs="Arial"/>
          <w:i/>
          <w:sz w:val="20"/>
          <w:szCs w:val="20"/>
          <w:u w:val="single"/>
          <w:lang w:eastAsia="es-CO"/>
        </w:rPr>
        <w:t>Haber conocido del asunto, en oportunidad anterior, el servidor</w:t>
      </w:r>
      <w:r w:rsidRPr="00D316A5">
        <w:rPr>
          <w:rFonts w:ascii="Arial" w:eastAsia="Times New Roman" w:hAnsi="Arial" w:cs="Arial"/>
          <w:i/>
          <w:sz w:val="20"/>
          <w:szCs w:val="20"/>
          <w:lang w:eastAsia="es-CO"/>
        </w:rPr>
        <w:t>, su cónyuge, compañero permanente o alguno de sus parientes indicados en el numeral precedente. </w:t>
      </w:r>
    </w:p>
    <w:p w14:paraId="0F987991" w14:textId="399DA5CA" w:rsidR="002C05BA" w:rsidRPr="00D316A5" w:rsidRDefault="002C05BA" w:rsidP="00BE2383">
      <w:pPr>
        <w:spacing w:after="0" w:line="240" w:lineRule="auto"/>
        <w:ind w:left="567"/>
        <w:jc w:val="both"/>
        <w:rPr>
          <w:rFonts w:ascii="Arial" w:eastAsia="Times New Roman" w:hAnsi="Arial" w:cs="Arial"/>
          <w:i/>
          <w:sz w:val="20"/>
          <w:szCs w:val="20"/>
          <w:lang w:eastAsia="es-CO"/>
        </w:rPr>
      </w:pPr>
      <w:r w:rsidRPr="00D316A5">
        <w:rPr>
          <w:rFonts w:ascii="Arial" w:eastAsia="Times New Roman" w:hAnsi="Arial" w:cs="Arial"/>
          <w:i/>
          <w:sz w:val="20"/>
          <w:szCs w:val="20"/>
          <w:lang w:eastAsia="es-CO"/>
        </w:rPr>
        <w:t>(…)</w:t>
      </w:r>
    </w:p>
    <w:p w14:paraId="2C9B0252" w14:textId="1E39AC07" w:rsidR="002C05BA" w:rsidRPr="00D316A5" w:rsidRDefault="002C05BA" w:rsidP="00BE2383">
      <w:pPr>
        <w:spacing w:after="0" w:line="240" w:lineRule="auto"/>
        <w:ind w:left="567"/>
        <w:jc w:val="both"/>
        <w:rPr>
          <w:rFonts w:ascii="Arial" w:eastAsia="Times New Roman" w:hAnsi="Arial" w:cs="Arial"/>
          <w:i/>
          <w:sz w:val="20"/>
          <w:szCs w:val="20"/>
          <w:lang w:eastAsia="es-CO"/>
        </w:rPr>
      </w:pPr>
      <w:r w:rsidRPr="00D316A5">
        <w:rPr>
          <w:rFonts w:ascii="Arial" w:eastAsia="Times New Roman" w:hAnsi="Arial" w:cs="Arial"/>
          <w:b/>
          <w:i/>
          <w:sz w:val="20"/>
          <w:szCs w:val="20"/>
          <w:lang w:eastAsia="es-CO"/>
        </w:rPr>
        <w:t>11.</w:t>
      </w:r>
      <w:r w:rsidRPr="00D316A5">
        <w:rPr>
          <w:rFonts w:ascii="Arial" w:eastAsia="Times New Roman" w:hAnsi="Arial" w:cs="Arial"/>
          <w:i/>
          <w:sz w:val="20"/>
          <w:szCs w:val="20"/>
          <w:lang w:eastAsia="es-CO"/>
        </w:rPr>
        <w:t xml:space="preserve"> </w:t>
      </w:r>
      <w:r w:rsidRPr="00D316A5">
        <w:rPr>
          <w:rFonts w:ascii="Arial" w:eastAsia="Times New Roman" w:hAnsi="Arial" w:cs="Arial"/>
          <w:i/>
          <w:sz w:val="20"/>
          <w:szCs w:val="20"/>
          <w:u w:val="single"/>
          <w:lang w:eastAsia="es-CO"/>
        </w:rPr>
        <w:t xml:space="preserve">Haber dado el servidor consejo o concepto por fuera de la actuación administrativa sobre las cuestiones materia de </w:t>
      </w:r>
      <w:proofErr w:type="gramStart"/>
      <w:r w:rsidRPr="00D316A5">
        <w:rPr>
          <w:rFonts w:ascii="Arial" w:eastAsia="Times New Roman" w:hAnsi="Arial" w:cs="Arial"/>
          <w:i/>
          <w:sz w:val="20"/>
          <w:szCs w:val="20"/>
          <w:u w:val="single"/>
          <w:lang w:eastAsia="es-CO"/>
        </w:rPr>
        <w:t>la misma</w:t>
      </w:r>
      <w:proofErr w:type="gramEnd"/>
      <w:r w:rsidRPr="00D316A5">
        <w:rPr>
          <w:rFonts w:ascii="Arial" w:eastAsia="Times New Roman" w:hAnsi="Arial" w:cs="Arial"/>
          <w:i/>
          <w:sz w:val="20"/>
          <w:szCs w:val="20"/>
          <w:lang w:eastAsia="es-CO"/>
        </w:rPr>
        <w:t>, o haber intervenido en esta como apoderado, Agente del Ministerio Público, perito o testigo. Sin embargo, no tendrán el carácter de concepto las referencias o explicaciones que el servidor público haga sobre el contenido de una decisión tomada por la administración.</w:t>
      </w:r>
      <w:r w:rsidR="0081724C" w:rsidRPr="00D316A5">
        <w:rPr>
          <w:rFonts w:ascii="Arial" w:eastAsia="Times New Roman" w:hAnsi="Arial" w:cs="Arial"/>
          <w:i/>
          <w:sz w:val="20"/>
          <w:szCs w:val="20"/>
          <w:lang w:eastAsia="es-CO"/>
        </w:rPr>
        <w:t xml:space="preserve"> (…)”</w:t>
      </w:r>
    </w:p>
    <w:p w14:paraId="198EADAE" w14:textId="47C2DB20" w:rsidR="00B77CF3" w:rsidRPr="00D316A5" w:rsidRDefault="00B77CF3" w:rsidP="00BE2383">
      <w:pPr>
        <w:spacing w:after="0" w:line="240" w:lineRule="auto"/>
        <w:ind w:left="567"/>
        <w:jc w:val="both"/>
        <w:rPr>
          <w:rFonts w:ascii="Arial" w:hAnsi="Arial" w:cs="Arial"/>
          <w:sz w:val="20"/>
          <w:szCs w:val="20"/>
        </w:rPr>
      </w:pPr>
      <w:r w:rsidRPr="00D316A5">
        <w:rPr>
          <w:rFonts w:ascii="Arial" w:hAnsi="Arial" w:cs="Arial"/>
          <w:sz w:val="20"/>
          <w:szCs w:val="20"/>
        </w:rPr>
        <w:t>(Subrayado fuera de texto) </w:t>
      </w:r>
    </w:p>
    <w:p w14:paraId="5BBE2E31" w14:textId="33B8A85D" w:rsidR="0081724C" w:rsidRPr="00D316A5" w:rsidRDefault="0081724C" w:rsidP="00BE2383">
      <w:pPr>
        <w:spacing w:after="0" w:line="240" w:lineRule="auto"/>
        <w:jc w:val="both"/>
        <w:rPr>
          <w:rFonts w:ascii="Arial" w:hAnsi="Arial" w:cs="Arial"/>
        </w:rPr>
      </w:pPr>
    </w:p>
    <w:p w14:paraId="4CBD8AA5" w14:textId="508A7CFC" w:rsidR="00C26825" w:rsidRPr="00D316A5" w:rsidRDefault="004F4218" w:rsidP="00BE2383">
      <w:pPr>
        <w:shd w:val="clear" w:color="auto" w:fill="FFFFFF"/>
        <w:spacing w:after="100" w:afterAutospacing="1" w:line="240" w:lineRule="auto"/>
        <w:jc w:val="both"/>
        <w:rPr>
          <w:rFonts w:ascii="Arial" w:eastAsia="Times New Roman" w:hAnsi="Arial" w:cs="Arial"/>
          <w:color w:val="333333"/>
          <w:lang w:eastAsia="es-CO"/>
        </w:rPr>
      </w:pPr>
      <w:r>
        <w:rPr>
          <w:rFonts w:ascii="Arial" w:eastAsia="Times New Roman" w:hAnsi="Arial" w:cs="Arial"/>
          <w:color w:val="333333"/>
          <w:lang w:eastAsia="es-CO"/>
        </w:rPr>
        <w:t>L</w:t>
      </w:r>
      <w:r w:rsidR="00A15C91" w:rsidRPr="00D316A5">
        <w:rPr>
          <w:rFonts w:ascii="Arial" w:eastAsia="Times New Roman" w:hAnsi="Arial" w:cs="Arial"/>
          <w:color w:val="333333"/>
          <w:lang w:eastAsia="es-CO"/>
        </w:rPr>
        <w:t>a Sección Primera de la Sala de lo Contencioso Administrativo del Consejo de Estado, en sentencia con Radicación núm</w:t>
      </w:r>
      <w:r w:rsidR="00981BA8" w:rsidRPr="00D316A5">
        <w:rPr>
          <w:rFonts w:ascii="Arial" w:eastAsia="Times New Roman" w:hAnsi="Arial" w:cs="Arial"/>
          <w:color w:val="333333"/>
          <w:lang w:eastAsia="es-CO"/>
        </w:rPr>
        <w:t>ero</w:t>
      </w:r>
      <w:r w:rsidR="00A15C91" w:rsidRPr="00D316A5">
        <w:rPr>
          <w:rFonts w:ascii="Arial" w:eastAsia="Times New Roman" w:hAnsi="Arial" w:cs="Arial"/>
          <w:color w:val="333333"/>
          <w:lang w:eastAsia="es-CO"/>
        </w:rPr>
        <w:t> </w:t>
      </w:r>
      <w:hyperlink r:id="rId16" w:anchor="684" w:history="1">
        <w:r w:rsidR="00A15C91" w:rsidRPr="00D316A5">
          <w:rPr>
            <w:rFonts w:ascii="Arial" w:eastAsia="Times New Roman" w:hAnsi="Arial" w:cs="Arial"/>
            <w:lang w:eastAsia="es-CO"/>
          </w:rPr>
          <w:t>440012331000200400684</w:t>
        </w:r>
      </w:hyperlink>
      <w:r w:rsidR="00A325B8" w:rsidRPr="00D316A5">
        <w:rPr>
          <w:rFonts w:ascii="Arial" w:eastAsia="Times New Roman" w:hAnsi="Arial" w:cs="Arial"/>
          <w:lang w:eastAsia="es-CO"/>
        </w:rPr>
        <w:t xml:space="preserve"> </w:t>
      </w:r>
      <w:r w:rsidR="00A15C91" w:rsidRPr="00D316A5">
        <w:rPr>
          <w:rFonts w:ascii="Arial" w:eastAsia="Times New Roman" w:hAnsi="Arial" w:cs="Arial"/>
          <w:color w:val="333333"/>
          <w:lang w:eastAsia="es-CO"/>
        </w:rPr>
        <w:t xml:space="preserve">del 27 de enero de 2005, </w:t>
      </w:r>
      <w:proofErr w:type="gramStart"/>
      <w:r w:rsidR="00A15C91" w:rsidRPr="00D316A5">
        <w:rPr>
          <w:rFonts w:ascii="Arial" w:eastAsia="Times New Roman" w:hAnsi="Arial" w:cs="Arial"/>
          <w:color w:val="333333"/>
          <w:lang w:eastAsia="es-CO"/>
        </w:rPr>
        <w:t>Consejero</w:t>
      </w:r>
      <w:proofErr w:type="gramEnd"/>
      <w:r w:rsidR="00A15C91" w:rsidRPr="00D316A5">
        <w:rPr>
          <w:rFonts w:ascii="Arial" w:eastAsia="Times New Roman" w:hAnsi="Arial" w:cs="Arial"/>
          <w:color w:val="333333"/>
          <w:lang w:eastAsia="es-CO"/>
        </w:rPr>
        <w:t xml:space="preserve"> Ponente: Doctor Rafael E. Ostau De Lafont Pianeta, precisó:</w:t>
      </w:r>
    </w:p>
    <w:p w14:paraId="358BBE4A" w14:textId="7D934A52" w:rsidR="00A15C91" w:rsidRPr="00D316A5" w:rsidRDefault="00A15C91" w:rsidP="00BE2383">
      <w:pPr>
        <w:shd w:val="clear" w:color="auto" w:fill="FFFFFF"/>
        <w:spacing w:after="100" w:afterAutospacing="1" w:line="240" w:lineRule="auto"/>
        <w:ind w:left="709"/>
        <w:jc w:val="both"/>
        <w:rPr>
          <w:rFonts w:ascii="Arial" w:eastAsia="Times New Roman" w:hAnsi="Arial" w:cs="Arial"/>
          <w:color w:val="333333"/>
          <w:sz w:val="20"/>
          <w:szCs w:val="20"/>
          <w:lang w:eastAsia="es-CO"/>
        </w:rPr>
      </w:pPr>
      <w:r w:rsidRPr="00D316A5">
        <w:rPr>
          <w:rFonts w:ascii="Arial" w:eastAsia="Times New Roman" w:hAnsi="Arial" w:cs="Arial"/>
          <w:i/>
          <w:iCs/>
          <w:color w:val="333333"/>
          <w:sz w:val="20"/>
          <w:szCs w:val="20"/>
          <w:lang w:eastAsia="es-CO"/>
        </w:rPr>
        <w:t xml:space="preserve">“La jurisprudencia de esta Sala tiene dicho que de esa disposición se desprende que </w:t>
      </w:r>
      <w:r w:rsidRPr="00D316A5">
        <w:rPr>
          <w:rFonts w:ascii="Arial" w:eastAsia="Times New Roman" w:hAnsi="Arial" w:cs="Arial"/>
          <w:i/>
          <w:iCs/>
          <w:color w:val="333333"/>
          <w:sz w:val="20"/>
          <w:szCs w:val="20"/>
          <w:u w:val="single"/>
          <w:lang w:eastAsia="es-CO"/>
        </w:rPr>
        <w:t>el interés que puede generar conflicto con el asunto de que se trate debe ser directo</w:t>
      </w:r>
      <w:r w:rsidRPr="00D316A5">
        <w:rPr>
          <w:rFonts w:ascii="Arial" w:eastAsia="Times New Roman" w:hAnsi="Arial" w:cs="Arial"/>
          <w:i/>
          <w:iCs/>
          <w:color w:val="333333"/>
          <w:sz w:val="20"/>
          <w:szCs w:val="20"/>
          <w:lang w:eastAsia="es-CO"/>
        </w:rPr>
        <w:t>, es decir que el efecto que la decisión pueda tener en las personas que como servidores públicos intervienen en ella sea inmediato, sin consideración a circunstancias o elementos externos a la decisión; que se produzca de forma especial respecto de ellas, de su cónyuge o de un pariente suyo, es decir, particular y concreta, sea en su beneficio o en su perjuicio; y que además no se manifieste el impedimento por esa situación personal o familiar en el trámite del asunto, y así lo ha consignado reiterada y ampliamente la Sala Plena de lo Contencioso Administrativa de esta Corporación</w:t>
      </w:r>
      <w:r w:rsidR="00200356" w:rsidRPr="00D316A5">
        <w:rPr>
          <w:rFonts w:ascii="Arial" w:eastAsia="Times New Roman" w:hAnsi="Arial" w:cs="Arial"/>
          <w:i/>
          <w:iCs/>
          <w:color w:val="333333"/>
          <w:sz w:val="20"/>
          <w:szCs w:val="20"/>
          <w:lang w:eastAsia="es-CO"/>
        </w:rPr>
        <w:t xml:space="preserve"> (…)</w:t>
      </w:r>
      <w:r w:rsidRPr="00D316A5">
        <w:rPr>
          <w:rFonts w:ascii="Arial" w:eastAsia="Times New Roman" w:hAnsi="Arial" w:cs="Arial"/>
          <w:i/>
          <w:iCs/>
          <w:color w:val="333333"/>
          <w:sz w:val="20"/>
          <w:szCs w:val="20"/>
          <w:lang w:eastAsia="es-CO"/>
        </w:rPr>
        <w:t>”</w:t>
      </w:r>
      <w:r w:rsidR="008656E0" w:rsidRPr="00D316A5">
        <w:rPr>
          <w:rFonts w:ascii="Arial" w:eastAsia="Times New Roman" w:hAnsi="Arial" w:cs="Arial"/>
          <w:i/>
          <w:iCs/>
          <w:color w:val="333333"/>
          <w:sz w:val="20"/>
          <w:szCs w:val="20"/>
          <w:lang w:eastAsia="es-CO"/>
        </w:rPr>
        <w:t xml:space="preserve"> </w:t>
      </w:r>
      <w:r w:rsidR="008656E0" w:rsidRPr="00D316A5">
        <w:rPr>
          <w:rFonts w:ascii="Arial" w:eastAsia="Times New Roman" w:hAnsi="Arial" w:cs="Arial"/>
          <w:iCs/>
          <w:color w:val="333333"/>
          <w:sz w:val="20"/>
          <w:szCs w:val="20"/>
          <w:lang w:eastAsia="es-CO"/>
        </w:rPr>
        <w:t>(subraya fuera de texto)</w:t>
      </w:r>
      <w:r w:rsidR="00A325B8" w:rsidRPr="00D316A5">
        <w:rPr>
          <w:rFonts w:ascii="Arial" w:eastAsia="Times New Roman" w:hAnsi="Arial" w:cs="Arial"/>
          <w:iCs/>
          <w:color w:val="333333"/>
          <w:sz w:val="20"/>
          <w:szCs w:val="20"/>
          <w:lang w:eastAsia="es-CO"/>
        </w:rPr>
        <w:t>.</w:t>
      </w:r>
    </w:p>
    <w:p w14:paraId="4C5C5087" w14:textId="2AA587DD" w:rsidR="00405FCC" w:rsidRPr="00D316A5" w:rsidRDefault="004F4218" w:rsidP="00BE2383">
      <w:pPr>
        <w:spacing w:after="0" w:line="240" w:lineRule="auto"/>
        <w:jc w:val="both"/>
        <w:rPr>
          <w:rFonts w:ascii="Arial" w:hAnsi="Arial" w:cs="Arial"/>
          <w:bCs/>
          <w:shd w:val="clear" w:color="auto" w:fill="FFFFFF"/>
        </w:rPr>
      </w:pPr>
      <w:r>
        <w:rPr>
          <w:rFonts w:ascii="Arial" w:hAnsi="Arial" w:cs="Arial"/>
          <w:bCs/>
          <w:shd w:val="clear" w:color="auto" w:fill="FFFFFF"/>
        </w:rPr>
        <w:t>C</w:t>
      </w:r>
      <w:r w:rsidR="00A325B8" w:rsidRPr="00D316A5">
        <w:rPr>
          <w:rFonts w:ascii="Arial" w:hAnsi="Arial" w:cs="Arial"/>
          <w:bCs/>
          <w:shd w:val="clear" w:color="auto" w:fill="FFFFFF"/>
        </w:rPr>
        <w:t xml:space="preserve">omo lo ha advertido la jurisprudencia constitucional, </w:t>
      </w:r>
      <w:r>
        <w:rPr>
          <w:rFonts w:ascii="Arial" w:hAnsi="Arial" w:cs="Arial"/>
          <w:bCs/>
          <w:shd w:val="clear" w:color="auto" w:fill="FFFFFF"/>
        </w:rPr>
        <w:t>las causales de impedimento y recusación</w:t>
      </w:r>
      <w:r w:rsidRPr="00D316A5">
        <w:rPr>
          <w:rFonts w:ascii="Arial" w:hAnsi="Arial" w:cs="Arial"/>
          <w:bCs/>
          <w:shd w:val="clear" w:color="auto" w:fill="FFFFFF"/>
        </w:rPr>
        <w:t xml:space="preserve"> </w:t>
      </w:r>
      <w:r w:rsidR="00A325B8" w:rsidRPr="00D316A5">
        <w:rPr>
          <w:rFonts w:ascii="Arial" w:hAnsi="Arial" w:cs="Arial"/>
          <w:bCs/>
          <w:shd w:val="clear" w:color="auto" w:fill="FFFFFF"/>
        </w:rPr>
        <w:t>tienen un carácter excepcional y taxativo, lo cual exige que sean interpretadas de manera restrictiva</w:t>
      </w:r>
      <w:r w:rsidR="00A325B8" w:rsidRPr="00D316A5">
        <w:rPr>
          <w:rStyle w:val="Refdenotaalpie"/>
          <w:rFonts w:ascii="Arial" w:hAnsi="Arial" w:cs="Arial"/>
          <w:bCs/>
          <w:shd w:val="clear" w:color="auto" w:fill="FFFFFF"/>
        </w:rPr>
        <w:footnoteReference w:id="7"/>
      </w:r>
      <w:r w:rsidR="00A325B8" w:rsidRPr="00D316A5">
        <w:rPr>
          <w:rFonts w:ascii="Arial" w:hAnsi="Arial" w:cs="Arial"/>
          <w:bCs/>
          <w:shd w:val="clear" w:color="auto" w:fill="FFFFFF"/>
        </w:rPr>
        <w:t xml:space="preserve">. </w:t>
      </w:r>
      <w:r w:rsidR="00405FCC" w:rsidRPr="00D316A5">
        <w:rPr>
          <w:rFonts w:ascii="Arial" w:hAnsi="Arial" w:cs="Arial"/>
          <w:bCs/>
          <w:shd w:val="clear" w:color="auto" w:fill="FFFFFF"/>
        </w:rPr>
        <w:t xml:space="preserve">Esta aclaración cobra </w:t>
      </w:r>
      <w:r w:rsidR="00117023" w:rsidRPr="00D316A5">
        <w:rPr>
          <w:rFonts w:ascii="Arial" w:hAnsi="Arial" w:cs="Arial"/>
          <w:bCs/>
          <w:shd w:val="clear" w:color="auto" w:fill="FFFFFF"/>
        </w:rPr>
        <w:t xml:space="preserve">relevancia </w:t>
      </w:r>
      <w:r w:rsidR="008B7D4E" w:rsidRPr="00D316A5">
        <w:rPr>
          <w:rFonts w:ascii="Arial" w:hAnsi="Arial" w:cs="Arial"/>
          <w:bCs/>
          <w:shd w:val="clear" w:color="auto" w:fill="FFFFFF"/>
        </w:rPr>
        <w:t>para el caso concreto,</w:t>
      </w:r>
      <w:r w:rsidR="00405FCC" w:rsidRPr="00D316A5">
        <w:rPr>
          <w:rFonts w:ascii="Arial" w:hAnsi="Arial" w:cs="Arial"/>
          <w:bCs/>
          <w:shd w:val="clear" w:color="auto" w:fill="FFFFFF"/>
        </w:rPr>
        <w:t xml:space="preserve"> </w:t>
      </w:r>
      <w:r w:rsidR="00117023" w:rsidRPr="00D316A5">
        <w:rPr>
          <w:rFonts w:ascii="Arial" w:hAnsi="Arial" w:cs="Arial"/>
          <w:bCs/>
          <w:shd w:val="clear" w:color="auto" w:fill="FFFFFF"/>
        </w:rPr>
        <w:t xml:space="preserve">pues </w:t>
      </w:r>
      <w:r w:rsidR="00981BA8" w:rsidRPr="00D316A5">
        <w:rPr>
          <w:rFonts w:ascii="Arial" w:hAnsi="Arial" w:cs="Arial"/>
          <w:bCs/>
          <w:shd w:val="clear" w:color="auto" w:fill="FFFFFF"/>
        </w:rPr>
        <w:t>no podrá</w:t>
      </w:r>
      <w:r w:rsidR="00405FCC" w:rsidRPr="00D316A5">
        <w:rPr>
          <w:rFonts w:ascii="Arial" w:hAnsi="Arial" w:cs="Arial"/>
          <w:bCs/>
          <w:shd w:val="clear" w:color="auto" w:fill="FFFFFF"/>
        </w:rPr>
        <w:t xml:space="preserve"> </w:t>
      </w:r>
      <w:r w:rsidR="00A45BE8" w:rsidRPr="00D316A5">
        <w:rPr>
          <w:rFonts w:ascii="Arial" w:hAnsi="Arial" w:cs="Arial"/>
          <w:bCs/>
          <w:shd w:val="clear" w:color="auto" w:fill="FFFFFF"/>
        </w:rPr>
        <w:t xml:space="preserve">predicarse la existencia de un impedimento </w:t>
      </w:r>
      <w:r w:rsidR="00830A11" w:rsidRPr="00D316A5">
        <w:rPr>
          <w:rFonts w:ascii="Arial" w:hAnsi="Arial" w:cs="Arial"/>
          <w:bCs/>
          <w:shd w:val="clear" w:color="auto" w:fill="FFFFFF"/>
        </w:rPr>
        <w:t xml:space="preserve">general o institucional </w:t>
      </w:r>
      <w:r w:rsidR="003751CA" w:rsidRPr="00D316A5">
        <w:rPr>
          <w:rFonts w:ascii="Arial" w:hAnsi="Arial" w:cs="Arial"/>
          <w:bCs/>
          <w:shd w:val="clear" w:color="auto" w:fill="FFFFFF"/>
        </w:rPr>
        <w:t xml:space="preserve">respecto </w:t>
      </w:r>
      <w:r w:rsidR="004C38D5" w:rsidRPr="00D316A5">
        <w:rPr>
          <w:rFonts w:ascii="Arial" w:hAnsi="Arial" w:cs="Arial"/>
          <w:bCs/>
          <w:shd w:val="clear" w:color="auto" w:fill="FFFFFF"/>
        </w:rPr>
        <w:t xml:space="preserve">de un grupo o </w:t>
      </w:r>
      <w:r w:rsidR="00995807" w:rsidRPr="00D316A5">
        <w:rPr>
          <w:rFonts w:ascii="Arial" w:hAnsi="Arial" w:cs="Arial"/>
          <w:bCs/>
          <w:shd w:val="clear" w:color="auto" w:fill="FFFFFF"/>
        </w:rPr>
        <w:t>dependencia</w:t>
      </w:r>
      <w:r w:rsidR="004C38D5" w:rsidRPr="00D316A5">
        <w:rPr>
          <w:rFonts w:ascii="Arial" w:hAnsi="Arial" w:cs="Arial"/>
          <w:bCs/>
          <w:shd w:val="clear" w:color="auto" w:fill="FFFFFF"/>
        </w:rPr>
        <w:t xml:space="preserve"> conformada al interior de una entidad </w:t>
      </w:r>
      <w:r w:rsidR="00E71BEA" w:rsidRPr="00D316A5">
        <w:rPr>
          <w:rFonts w:ascii="Arial" w:hAnsi="Arial" w:cs="Arial"/>
          <w:bCs/>
          <w:shd w:val="clear" w:color="auto" w:fill="FFFFFF"/>
        </w:rPr>
        <w:t>pública</w:t>
      </w:r>
      <w:r w:rsidR="00830A11" w:rsidRPr="00D316A5">
        <w:rPr>
          <w:rFonts w:ascii="Arial" w:hAnsi="Arial" w:cs="Arial"/>
          <w:bCs/>
          <w:shd w:val="clear" w:color="auto" w:fill="FFFFFF"/>
        </w:rPr>
        <w:t>. En contraste</w:t>
      </w:r>
      <w:r w:rsidR="008B7D4E" w:rsidRPr="00D316A5">
        <w:rPr>
          <w:rFonts w:ascii="Arial" w:hAnsi="Arial" w:cs="Arial"/>
          <w:bCs/>
          <w:shd w:val="clear" w:color="auto" w:fill="FFFFFF"/>
        </w:rPr>
        <w:t>,</w:t>
      </w:r>
      <w:r w:rsidR="00FB61CF" w:rsidRPr="00D316A5">
        <w:rPr>
          <w:rFonts w:ascii="Arial" w:hAnsi="Arial" w:cs="Arial"/>
          <w:bCs/>
          <w:shd w:val="clear" w:color="auto" w:fill="FFFFFF"/>
        </w:rPr>
        <w:t xml:space="preserve"> </w:t>
      </w:r>
      <w:r w:rsidR="00604DD1" w:rsidRPr="00D316A5">
        <w:rPr>
          <w:rFonts w:ascii="Arial" w:hAnsi="Arial" w:cs="Arial"/>
          <w:bCs/>
          <w:shd w:val="clear" w:color="auto" w:fill="FFFFFF"/>
        </w:rPr>
        <w:t xml:space="preserve">cada </w:t>
      </w:r>
      <w:r w:rsidR="00A45BE8" w:rsidRPr="00D316A5">
        <w:rPr>
          <w:rFonts w:ascii="Arial" w:hAnsi="Arial" w:cs="Arial"/>
          <w:bCs/>
          <w:shd w:val="clear" w:color="auto" w:fill="FFFFFF"/>
        </w:rPr>
        <w:t>servidor público con compet</w:t>
      </w:r>
      <w:r w:rsidR="00117023" w:rsidRPr="00D316A5">
        <w:rPr>
          <w:rFonts w:ascii="Arial" w:hAnsi="Arial" w:cs="Arial"/>
          <w:bCs/>
          <w:shd w:val="clear" w:color="auto" w:fill="FFFFFF"/>
        </w:rPr>
        <w:t>encia</w:t>
      </w:r>
      <w:r w:rsidR="00A45BE8" w:rsidRPr="00D316A5">
        <w:rPr>
          <w:rFonts w:ascii="Arial" w:hAnsi="Arial" w:cs="Arial"/>
          <w:bCs/>
          <w:shd w:val="clear" w:color="auto" w:fill="FFFFFF"/>
        </w:rPr>
        <w:t xml:space="preserve"> para llevar a cabo la respectiva actuación administrativa</w:t>
      </w:r>
      <w:r w:rsidR="00FB61CF" w:rsidRPr="00D316A5">
        <w:rPr>
          <w:rFonts w:ascii="Arial" w:hAnsi="Arial" w:cs="Arial"/>
          <w:bCs/>
          <w:shd w:val="clear" w:color="auto" w:fill="FFFFFF"/>
        </w:rPr>
        <w:t xml:space="preserve"> es</w:t>
      </w:r>
      <w:r w:rsidR="003751CA" w:rsidRPr="00D316A5">
        <w:rPr>
          <w:rFonts w:ascii="Arial" w:hAnsi="Arial" w:cs="Arial"/>
          <w:bCs/>
          <w:shd w:val="clear" w:color="auto" w:fill="FFFFFF"/>
        </w:rPr>
        <w:t xml:space="preserve"> quien </w:t>
      </w:r>
      <w:r w:rsidR="00604DD1" w:rsidRPr="00D316A5">
        <w:rPr>
          <w:rFonts w:ascii="Arial" w:hAnsi="Arial" w:cs="Arial"/>
          <w:bCs/>
          <w:shd w:val="clear" w:color="auto" w:fill="FFFFFF"/>
        </w:rPr>
        <w:t xml:space="preserve">debe verificar los conflictos de interés y el acaecimiento </w:t>
      </w:r>
      <w:r w:rsidR="008B7D4E" w:rsidRPr="00D316A5">
        <w:rPr>
          <w:rFonts w:ascii="Arial" w:hAnsi="Arial" w:cs="Arial"/>
          <w:bCs/>
          <w:shd w:val="clear" w:color="auto" w:fill="FFFFFF"/>
        </w:rPr>
        <w:t xml:space="preserve">o no </w:t>
      </w:r>
      <w:r w:rsidR="003751CA" w:rsidRPr="00D316A5">
        <w:rPr>
          <w:rFonts w:ascii="Arial" w:hAnsi="Arial" w:cs="Arial"/>
          <w:bCs/>
          <w:shd w:val="clear" w:color="auto" w:fill="FFFFFF"/>
        </w:rPr>
        <w:t xml:space="preserve">de </w:t>
      </w:r>
      <w:r w:rsidR="004C38D5" w:rsidRPr="00D316A5">
        <w:rPr>
          <w:rFonts w:ascii="Arial" w:hAnsi="Arial" w:cs="Arial"/>
          <w:bCs/>
          <w:shd w:val="clear" w:color="auto" w:fill="FFFFFF"/>
        </w:rPr>
        <w:t>los impedimentos</w:t>
      </w:r>
      <w:r w:rsidR="00995807" w:rsidRPr="00D316A5">
        <w:rPr>
          <w:rFonts w:ascii="Arial" w:hAnsi="Arial" w:cs="Arial"/>
          <w:bCs/>
          <w:shd w:val="clear" w:color="auto" w:fill="FFFFFF"/>
        </w:rPr>
        <w:t xml:space="preserve"> </w:t>
      </w:r>
      <w:r w:rsidR="004C38D5" w:rsidRPr="00D316A5">
        <w:rPr>
          <w:rFonts w:ascii="Arial" w:hAnsi="Arial" w:cs="Arial"/>
          <w:bCs/>
          <w:shd w:val="clear" w:color="auto" w:fill="FFFFFF"/>
        </w:rPr>
        <w:t>legales existentes</w:t>
      </w:r>
      <w:r w:rsidR="00604DD1" w:rsidRPr="00D316A5">
        <w:rPr>
          <w:rFonts w:ascii="Arial" w:hAnsi="Arial" w:cs="Arial"/>
          <w:bCs/>
          <w:shd w:val="clear" w:color="auto" w:fill="FFFFFF"/>
        </w:rPr>
        <w:t xml:space="preserve"> tanto en el CPACA </w:t>
      </w:r>
      <w:r w:rsidR="00A325B8" w:rsidRPr="00D316A5">
        <w:rPr>
          <w:rFonts w:ascii="Arial" w:hAnsi="Arial" w:cs="Arial"/>
          <w:bCs/>
          <w:shd w:val="clear" w:color="auto" w:fill="FFFFFF"/>
        </w:rPr>
        <w:t xml:space="preserve">y el Código Disciplinario Único, </w:t>
      </w:r>
      <w:r w:rsidR="00604DD1" w:rsidRPr="00D316A5">
        <w:rPr>
          <w:rFonts w:ascii="Arial" w:hAnsi="Arial" w:cs="Arial"/>
          <w:bCs/>
          <w:shd w:val="clear" w:color="auto" w:fill="FFFFFF"/>
        </w:rPr>
        <w:t xml:space="preserve">como en las demás normas </w:t>
      </w:r>
      <w:r w:rsidR="00A325B8" w:rsidRPr="00D316A5">
        <w:rPr>
          <w:rFonts w:ascii="Arial" w:hAnsi="Arial" w:cs="Arial"/>
          <w:bCs/>
          <w:shd w:val="clear" w:color="auto" w:fill="FFFFFF"/>
        </w:rPr>
        <w:t xml:space="preserve">legales </w:t>
      </w:r>
      <w:r w:rsidR="00604DD1" w:rsidRPr="00D316A5">
        <w:rPr>
          <w:rFonts w:ascii="Arial" w:hAnsi="Arial" w:cs="Arial"/>
          <w:bCs/>
          <w:shd w:val="clear" w:color="auto" w:fill="FFFFFF"/>
        </w:rPr>
        <w:t>aplicables</w:t>
      </w:r>
      <w:r w:rsidR="00A45BE8" w:rsidRPr="00D316A5">
        <w:rPr>
          <w:rFonts w:ascii="Arial" w:hAnsi="Arial" w:cs="Arial"/>
          <w:bCs/>
          <w:shd w:val="clear" w:color="auto" w:fill="FFFFFF"/>
        </w:rPr>
        <w:t>.</w:t>
      </w:r>
      <w:r w:rsidR="00981BA8" w:rsidRPr="00D316A5">
        <w:rPr>
          <w:rFonts w:ascii="Arial" w:hAnsi="Arial" w:cs="Arial"/>
          <w:bCs/>
          <w:shd w:val="clear" w:color="auto" w:fill="FFFFFF"/>
        </w:rPr>
        <w:t xml:space="preserve"> </w:t>
      </w:r>
    </w:p>
    <w:p w14:paraId="29C3B057" w14:textId="5350D40B" w:rsidR="00FB61CF" w:rsidRPr="00D316A5" w:rsidRDefault="00FB61CF" w:rsidP="00BE2383">
      <w:pPr>
        <w:spacing w:after="0" w:line="240" w:lineRule="auto"/>
        <w:jc w:val="both"/>
        <w:rPr>
          <w:rFonts w:ascii="Arial" w:hAnsi="Arial" w:cs="Arial"/>
          <w:bCs/>
          <w:shd w:val="clear" w:color="auto" w:fill="FFFFFF"/>
        </w:rPr>
      </w:pPr>
    </w:p>
    <w:p w14:paraId="5EE38D0D" w14:textId="2B59E06F" w:rsidR="00FB61CF" w:rsidRPr="00D316A5" w:rsidRDefault="00981BA8" w:rsidP="00BE2383">
      <w:pPr>
        <w:spacing w:after="0" w:line="240" w:lineRule="auto"/>
        <w:jc w:val="both"/>
        <w:rPr>
          <w:rFonts w:ascii="Arial" w:hAnsi="Arial" w:cs="Arial"/>
          <w:bCs/>
          <w:shd w:val="clear" w:color="auto" w:fill="FFFFFF"/>
        </w:rPr>
      </w:pPr>
      <w:r w:rsidRPr="00D316A5">
        <w:rPr>
          <w:rFonts w:ascii="Arial" w:hAnsi="Arial" w:cs="Arial"/>
          <w:bCs/>
          <w:shd w:val="clear" w:color="auto" w:fill="FFFFFF"/>
        </w:rPr>
        <w:t>Concomitantemente</w:t>
      </w:r>
      <w:r w:rsidR="00FB61CF" w:rsidRPr="00D316A5">
        <w:rPr>
          <w:rFonts w:ascii="Arial" w:hAnsi="Arial" w:cs="Arial"/>
          <w:bCs/>
          <w:shd w:val="clear" w:color="auto" w:fill="FFFFFF"/>
        </w:rPr>
        <w:t>, el Dep</w:t>
      </w:r>
      <w:r w:rsidRPr="00D316A5">
        <w:rPr>
          <w:rFonts w:ascii="Arial" w:hAnsi="Arial" w:cs="Arial"/>
          <w:bCs/>
          <w:shd w:val="clear" w:color="auto" w:fill="FFFFFF"/>
        </w:rPr>
        <w:t>artamento Administrativo de la Función P</w:t>
      </w:r>
      <w:r w:rsidR="00FB61CF" w:rsidRPr="00D316A5">
        <w:rPr>
          <w:rFonts w:ascii="Arial" w:hAnsi="Arial" w:cs="Arial"/>
          <w:bCs/>
          <w:shd w:val="clear" w:color="auto" w:fill="FFFFFF"/>
        </w:rPr>
        <w:t>ública en relación con los conflictos de interés</w:t>
      </w:r>
      <w:r w:rsidR="005D1616">
        <w:rPr>
          <w:rFonts w:ascii="Arial" w:hAnsi="Arial" w:cs="Arial"/>
          <w:bCs/>
          <w:shd w:val="clear" w:color="auto" w:fill="FFFFFF"/>
        </w:rPr>
        <w:t xml:space="preserve"> en el Concepto </w:t>
      </w:r>
      <w:r w:rsidR="005D1616" w:rsidRPr="005D1616">
        <w:rPr>
          <w:rFonts w:ascii="Arial" w:hAnsi="Arial" w:cs="Arial"/>
          <w:bCs/>
          <w:shd w:val="clear" w:color="auto" w:fill="FFFFFF"/>
        </w:rPr>
        <w:t>275221 de 2020</w:t>
      </w:r>
      <w:r w:rsidR="008F0483">
        <w:rPr>
          <w:rFonts w:ascii="Arial" w:hAnsi="Arial" w:cs="Arial"/>
          <w:bCs/>
          <w:shd w:val="clear" w:color="auto" w:fill="FFFFFF"/>
        </w:rPr>
        <w:t xml:space="preserve"> concluy</w:t>
      </w:r>
      <w:r w:rsidR="005D1616">
        <w:rPr>
          <w:rFonts w:ascii="Arial" w:hAnsi="Arial" w:cs="Arial"/>
          <w:bCs/>
          <w:shd w:val="clear" w:color="auto" w:fill="FFFFFF"/>
        </w:rPr>
        <w:t>ó</w:t>
      </w:r>
      <w:r w:rsidR="00FB61CF" w:rsidRPr="00D316A5">
        <w:rPr>
          <w:rFonts w:ascii="Arial" w:hAnsi="Arial" w:cs="Arial"/>
          <w:bCs/>
          <w:shd w:val="clear" w:color="auto" w:fill="FFFFFF"/>
        </w:rPr>
        <w:t xml:space="preserve"> lo siguiente:</w:t>
      </w:r>
    </w:p>
    <w:p w14:paraId="07E3A04B" w14:textId="428903D6" w:rsidR="00FB61CF" w:rsidRPr="00D316A5" w:rsidRDefault="00FB61CF" w:rsidP="00BE2383">
      <w:pPr>
        <w:spacing w:after="0" w:line="240" w:lineRule="auto"/>
        <w:jc w:val="both"/>
        <w:rPr>
          <w:rFonts w:ascii="Arial" w:hAnsi="Arial" w:cs="Arial"/>
          <w:bCs/>
          <w:shd w:val="clear" w:color="auto" w:fill="FFFFFF"/>
        </w:rPr>
      </w:pPr>
    </w:p>
    <w:p w14:paraId="1D64F120" w14:textId="3203DBAD" w:rsidR="00FB61CF" w:rsidRPr="00D316A5" w:rsidRDefault="00FB61CF" w:rsidP="00BE2383">
      <w:pPr>
        <w:spacing w:after="0" w:line="240" w:lineRule="auto"/>
        <w:ind w:left="709"/>
        <w:jc w:val="both"/>
        <w:rPr>
          <w:rFonts w:ascii="Arial" w:hAnsi="Arial" w:cs="Arial"/>
          <w:bCs/>
          <w:i/>
          <w:sz w:val="20"/>
          <w:szCs w:val="20"/>
          <w:shd w:val="clear" w:color="auto" w:fill="FFFFFF"/>
        </w:rPr>
      </w:pPr>
      <w:r w:rsidRPr="00D316A5">
        <w:rPr>
          <w:rFonts w:ascii="Arial" w:hAnsi="Arial" w:cs="Arial"/>
          <w:bCs/>
          <w:i/>
          <w:sz w:val="20"/>
          <w:szCs w:val="20"/>
          <w:shd w:val="clear" w:color="auto" w:fill="FFFFFF"/>
        </w:rPr>
        <w:t>“</w:t>
      </w:r>
      <w:r w:rsidR="008F0483" w:rsidRPr="008F0483">
        <w:rPr>
          <w:rFonts w:ascii="Arial" w:hAnsi="Arial" w:cs="Arial"/>
          <w:bCs/>
          <w:i/>
          <w:sz w:val="20"/>
          <w:szCs w:val="20"/>
          <w:shd w:val="clear" w:color="auto" w:fill="FFFFFF"/>
        </w:rPr>
        <w:t>De acuerdo con lo expresado por Consejo de Estado</w:t>
      </w:r>
      <w:r w:rsidRPr="00D316A5">
        <w:rPr>
          <w:rFonts w:ascii="Arial" w:hAnsi="Arial" w:cs="Arial"/>
          <w:bCs/>
          <w:i/>
          <w:sz w:val="20"/>
          <w:szCs w:val="20"/>
          <w:shd w:val="clear" w:color="auto" w:fill="FFFFFF"/>
        </w:rPr>
        <w:t xml:space="preserve"> el conflicto de intereses se configura cuando el servidor público con su actuación se favorezca a sí mismo o a sus parientes. El constituyente quiso evitar, al prever la ocurrencia del conflicto de intereses, que el servidor público con su accionar haga prevalecer su interés personal o familiar sobre el general. Busca acabar con las ventajas personales distintas a las que se predican de la generalidad.</w:t>
      </w:r>
    </w:p>
    <w:p w14:paraId="3A3E0569" w14:textId="78626BDA" w:rsidR="00FB61CF" w:rsidRPr="00D316A5" w:rsidRDefault="00FB61CF" w:rsidP="00BE2383">
      <w:pPr>
        <w:spacing w:after="0" w:line="240" w:lineRule="auto"/>
        <w:ind w:left="709"/>
        <w:jc w:val="both"/>
        <w:rPr>
          <w:rFonts w:ascii="Arial" w:hAnsi="Arial" w:cs="Arial"/>
          <w:bCs/>
          <w:i/>
          <w:sz w:val="20"/>
          <w:szCs w:val="20"/>
          <w:shd w:val="clear" w:color="auto" w:fill="FFFFFF"/>
        </w:rPr>
      </w:pPr>
    </w:p>
    <w:p w14:paraId="72D07ACF" w14:textId="6CDB2A5C" w:rsidR="00FB61CF" w:rsidRPr="00D316A5" w:rsidRDefault="00FB61CF" w:rsidP="00BE2383">
      <w:pPr>
        <w:spacing w:after="0" w:line="240" w:lineRule="auto"/>
        <w:ind w:left="709"/>
        <w:jc w:val="both"/>
        <w:rPr>
          <w:rFonts w:ascii="Arial" w:hAnsi="Arial" w:cs="Arial"/>
          <w:bCs/>
          <w:i/>
          <w:sz w:val="20"/>
          <w:szCs w:val="20"/>
          <w:shd w:val="clear" w:color="auto" w:fill="FFFFFF"/>
        </w:rPr>
      </w:pPr>
      <w:r w:rsidRPr="00D316A5">
        <w:rPr>
          <w:rFonts w:ascii="Arial" w:hAnsi="Arial" w:cs="Arial"/>
          <w:bCs/>
          <w:i/>
          <w:sz w:val="20"/>
          <w:szCs w:val="20"/>
          <w:shd w:val="clear" w:color="auto" w:fill="FFFFFF"/>
        </w:rPr>
        <w:lastRenderedPageBreak/>
        <w:t>Así las cosas, el servidor público que deba adelantar o sustanciar actuaciones administrativas, realizar investigaciones, practicar pruebas o pronunciar decisiones definitivas, deberá declararse impedido cuando el interés general propio de la función pública entre en conflicto con el interés particular y directo con este último, so pena de ser recusado.”</w:t>
      </w:r>
    </w:p>
    <w:p w14:paraId="3613AE30" w14:textId="0A287F6F" w:rsidR="00B85A56" w:rsidRPr="00D316A5" w:rsidRDefault="00B85A56" w:rsidP="00BE2383">
      <w:pPr>
        <w:spacing w:after="0" w:line="240" w:lineRule="auto"/>
        <w:jc w:val="both"/>
        <w:rPr>
          <w:rFonts w:ascii="Arial" w:hAnsi="Arial" w:cs="Arial"/>
          <w:bCs/>
          <w:shd w:val="clear" w:color="auto" w:fill="FFFFFF"/>
        </w:rPr>
      </w:pPr>
    </w:p>
    <w:p w14:paraId="511EA117" w14:textId="01959E63" w:rsidR="001D16DE" w:rsidRPr="00D316A5" w:rsidRDefault="00A325B8" w:rsidP="00BE2383">
      <w:pPr>
        <w:spacing w:after="0" w:line="240" w:lineRule="auto"/>
        <w:jc w:val="both"/>
        <w:rPr>
          <w:rFonts w:ascii="Arial" w:hAnsi="Arial" w:cs="Arial"/>
          <w:bCs/>
          <w:shd w:val="clear" w:color="auto" w:fill="FFFFFF"/>
        </w:rPr>
      </w:pPr>
      <w:r w:rsidRPr="00D316A5">
        <w:rPr>
          <w:rFonts w:ascii="Arial" w:hAnsi="Arial" w:cs="Arial"/>
          <w:bCs/>
          <w:shd w:val="clear" w:color="auto" w:fill="FFFFFF"/>
        </w:rPr>
        <w:t>Bajo esas condiciones</w:t>
      </w:r>
      <w:r w:rsidR="001D16DE" w:rsidRPr="00D316A5">
        <w:rPr>
          <w:rFonts w:ascii="Arial" w:hAnsi="Arial" w:cs="Arial"/>
          <w:bCs/>
          <w:shd w:val="clear" w:color="auto" w:fill="FFFFFF"/>
        </w:rPr>
        <w:t xml:space="preserve">, los servidores encargados de la sustanciación de trámites y/o actuaciones no incurren en ningún impedimento, si no se presentan situaciones </w:t>
      </w:r>
      <w:r w:rsidR="004F4218">
        <w:rPr>
          <w:rFonts w:ascii="Arial" w:hAnsi="Arial" w:cs="Arial"/>
          <w:bCs/>
          <w:shd w:val="clear" w:color="auto" w:fill="FFFFFF"/>
        </w:rPr>
        <w:t xml:space="preserve">administrativas </w:t>
      </w:r>
      <w:r w:rsidR="001D16DE" w:rsidRPr="00D316A5">
        <w:rPr>
          <w:rFonts w:ascii="Arial" w:hAnsi="Arial" w:cs="Arial"/>
          <w:bCs/>
          <w:shd w:val="clear" w:color="auto" w:fill="FFFFFF"/>
        </w:rPr>
        <w:t xml:space="preserve">en las que entren en conflicto su interés particular </w:t>
      </w:r>
      <w:r w:rsidR="009763AA" w:rsidRPr="00D316A5">
        <w:rPr>
          <w:rFonts w:ascii="Arial" w:hAnsi="Arial" w:cs="Arial"/>
          <w:bCs/>
          <w:shd w:val="clear" w:color="auto" w:fill="FFFFFF"/>
        </w:rPr>
        <w:t xml:space="preserve">con el interés general afectando su objetividad, imparcialidad o independencia </w:t>
      </w:r>
      <w:r w:rsidR="009763AA" w:rsidRPr="00D316A5">
        <w:rPr>
          <w:rFonts w:ascii="Arial" w:hAnsi="Arial" w:cs="Arial"/>
          <w:bCs/>
          <w:i/>
          <w:shd w:val="clear" w:color="auto" w:fill="FFFFFF"/>
        </w:rPr>
        <w:t>“frente al asunto oficial o institu</w:t>
      </w:r>
      <w:r w:rsidR="008656E0" w:rsidRPr="00D316A5">
        <w:rPr>
          <w:rFonts w:ascii="Arial" w:hAnsi="Arial" w:cs="Arial"/>
          <w:bCs/>
          <w:i/>
          <w:shd w:val="clear" w:color="auto" w:fill="FFFFFF"/>
        </w:rPr>
        <w:t>cional que les compete decidir”</w:t>
      </w:r>
      <w:r w:rsidR="009763AA" w:rsidRPr="00D316A5">
        <w:rPr>
          <w:rStyle w:val="Refdenotaalpie"/>
          <w:rFonts w:ascii="Arial" w:hAnsi="Arial" w:cs="Arial"/>
          <w:bCs/>
          <w:i/>
          <w:shd w:val="clear" w:color="auto" w:fill="FFFFFF"/>
        </w:rPr>
        <w:footnoteReference w:id="8"/>
      </w:r>
      <w:r w:rsidRPr="00D316A5">
        <w:rPr>
          <w:rFonts w:ascii="Arial" w:hAnsi="Arial" w:cs="Arial"/>
          <w:bCs/>
          <w:i/>
          <w:shd w:val="clear" w:color="auto" w:fill="FFFFFF"/>
        </w:rPr>
        <w:t xml:space="preserve">. </w:t>
      </w:r>
      <w:r w:rsidRPr="00D316A5">
        <w:rPr>
          <w:rFonts w:ascii="Arial" w:hAnsi="Arial" w:cs="Arial"/>
          <w:bCs/>
          <w:iCs/>
          <w:shd w:val="clear" w:color="auto" w:fill="FFFFFF"/>
        </w:rPr>
        <w:t>E</w:t>
      </w:r>
      <w:r w:rsidR="00150E95" w:rsidRPr="00D316A5">
        <w:rPr>
          <w:rFonts w:ascii="Arial" w:hAnsi="Arial" w:cs="Arial"/>
          <w:bCs/>
          <w:shd w:val="clear" w:color="auto" w:fill="FFFFFF"/>
        </w:rPr>
        <w:t>s decir, que dicha circunstancia sería aplicable solamente</w:t>
      </w:r>
      <w:r w:rsidR="00575FBA" w:rsidRPr="00D316A5">
        <w:rPr>
          <w:rFonts w:ascii="Arial" w:hAnsi="Arial" w:cs="Arial"/>
          <w:bCs/>
          <w:shd w:val="clear" w:color="auto" w:fill="FFFFFF"/>
        </w:rPr>
        <w:t xml:space="preserve"> en cada caso concreto</w:t>
      </w:r>
      <w:r w:rsidR="00266BAF" w:rsidRPr="00D316A5">
        <w:rPr>
          <w:rFonts w:ascii="Arial" w:hAnsi="Arial" w:cs="Arial"/>
          <w:bCs/>
          <w:shd w:val="clear" w:color="auto" w:fill="FFFFFF"/>
        </w:rPr>
        <w:t>,</w:t>
      </w:r>
      <w:r w:rsidR="009B49AC" w:rsidRPr="00D316A5">
        <w:rPr>
          <w:rFonts w:ascii="Arial" w:hAnsi="Arial" w:cs="Arial"/>
          <w:bCs/>
          <w:shd w:val="clear" w:color="auto" w:fill="FFFFFF"/>
        </w:rPr>
        <w:t xml:space="preserve"> conforme a las causales establecidas en la Ley</w:t>
      </w:r>
      <w:r w:rsidR="00266BAF" w:rsidRPr="00D316A5">
        <w:rPr>
          <w:rFonts w:ascii="Arial" w:hAnsi="Arial" w:cs="Arial"/>
          <w:bCs/>
          <w:shd w:val="clear" w:color="auto" w:fill="FFFFFF"/>
        </w:rPr>
        <w:t xml:space="preserve"> y</w:t>
      </w:r>
      <w:r w:rsidR="009B49AC" w:rsidRPr="00D316A5">
        <w:rPr>
          <w:rFonts w:ascii="Arial" w:hAnsi="Arial" w:cs="Arial"/>
          <w:bCs/>
          <w:shd w:val="clear" w:color="auto" w:fill="FFFFFF"/>
        </w:rPr>
        <w:t xml:space="preserve"> frente</w:t>
      </w:r>
      <w:r w:rsidR="00150E95" w:rsidRPr="00D316A5">
        <w:rPr>
          <w:rFonts w:ascii="Arial" w:hAnsi="Arial" w:cs="Arial"/>
          <w:bCs/>
          <w:shd w:val="clear" w:color="auto" w:fill="FFFFFF"/>
        </w:rPr>
        <w:t xml:space="preserve"> a quienes tienen poder de decisión en un </w:t>
      </w:r>
      <w:r w:rsidR="00575FBA" w:rsidRPr="00D316A5">
        <w:rPr>
          <w:rFonts w:ascii="Arial" w:hAnsi="Arial" w:cs="Arial"/>
          <w:bCs/>
          <w:shd w:val="clear" w:color="auto" w:fill="FFFFFF"/>
        </w:rPr>
        <w:t>“</w:t>
      </w:r>
      <w:r w:rsidR="00150E95" w:rsidRPr="00D316A5">
        <w:rPr>
          <w:rFonts w:ascii="Arial" w:hAnsi="Arial" w:cs="Arial"/>
          <w:bCs/>
          <w:shd w:val="clear" w:color="auto" w:fill="FFFFFF"/>
        </w:rPr>
        <w:t>asunto</w:t>
      </w:r>
      <w:r w:rsidR="00575FBA" w:rsidRPr="00D316A5">
        <w:rPr>
          <w:rFonts w:ascii="Arial" w:hAnsi="Arial" w:cs="Arial"/>
          <w:bCs/>
          <w:shd w:val="clear" w:color="auto" w:fill="FFFFFF"/>
        </w:rPr>
        <w:t>”</w:t>
      </w:r>
      <w:r w:rsidR="00150E95" w:rsidRPr="00D316A5">
        <w:rPr>
          <w:rFonts w:ascii="Arial" w:hAnsi="Arial" w:cs="Arial"/>
          <w:bCs/>
          <w:shd w:val="clear" w:color="auto" w:fill="FFFFFF"/>
        </w:rPr>
        <w:t xml:space="preserve"> determinado.</w:t>
      </w:r>
      <w:r w:rsidR="00EF480F" w:rsidRPr="00D316A5">
        <w:rPr>
          <w:rFonts w:ascii="Arial" w:hAnsi="Arial" w:cs="Arial"/>
          <w:bCs/>
          <w:shd w:val="clear" w:color="auto" w:fill="FFFFFF"/>
        </w:rPr>
        <w:t xml:space="preserve"> </w:t>
      </w:r>
    </w:p>
    <w:p w14:paraId="439CB221" w14:textId="47EFC6F7" w:rsidR="00A45BE8" w:rsidRPr="00D316A5" w:rsidRDefault="00A45BE8" w:rsidP="00BE2383">
      <w:pPr>
        <w:spacing w:after="0" w:line="240" w:lineRule="auto"/>
        <w:jc w:val="both"/>
        <w:rPr>
          <w:rFonts w:ascii="Arial" w:hAnsi="Arial" w:cs="Arial"/>
          <w:bCs/>
          <w:shd w:val="clear" w:color="auto" w:fill="FFFFFF"/>
        </w:rPr>
      </w:pPr>
    </w:p>
    <w:p w14:paraId="1D5124A9" w14:textId="623BEB06" w:rsidR="00544249" w:rsidRDefault="00FD1C12" w:rsidP="00BE2383">
      <w:pPr>
        <w:spacing w:after="0" w:line="240" w:lineRule="auto"/>
        <w:jc w:val="both"/>
        <w:rPr>
          <w:rFonts w:ascii="Arial" w:hAnsi="Arial" w:cs="Arial"/>
          <w:bCs/>
          <w:shd w:val="clear" w:color="auto" w:fill="FFFFFF"/>
        </w:rPr>
      </w:pPr>
      <w:r w:rsidRPr="00D316A5">
        <w:rPr>
          <w:rFonts w:ascii="Arial" w:hAnsi="Arial" w:cs="Arial"/>
          <w:bCs/>
          <w:shd w:val="clear" w:color="auto" w:fill="FFFFFF"/>
        </w:rPr>
        <w:t>Así las cosas</w:t>
      </w:r>
      <w:r w:rsidR="000D0CF1" w:rsidRPr="00D316A5">
        <w:rPr>
          <w:rFonts w:ascii="Arial" w:hAnsi="Arial" w:cs="Arial"/>
          <w:bCs/>
          <w:shd w:val="clear" w:color="auto" w:fill="FFFFFF"/>
        </w:rPr>
        <w:t>,</w:t>
      </w:r>
      <w:r w:rsidR="00EF480F" w:rsidRPr="00D316A5">
        <w:rPr>
          <w:rFonts w:ascii="Arial" w:hAnsi="Arial" w:cs="Arial"/>
          <w:bCs/>
          <w:shd w:val="clear" w:color="auto" w:fill="FFFFFF"/>
        </w:rPr>
        <w:t xml:space="preserve"> </w:t>
      </w:r>
      <w:r w:rsidR="0031006F" w:rsidRPr="00D316A5">
        <w:rPr>
          <w:rFonts w:ascii="Arial" w:hAnsi="Arial" w:cs="Arial"/>
          <w:bCs/>
          <w:shd w:val="clear" w:color="auto" w:fill="FFFFFF"/>
        </w:rPr>
        <w:t>para que se consolide el impedimento</w:t>
      </w:r>
      <w:r w:rsidR="004F4218">
        <w:rPr>
          <w:rFonts w:ascii="Arial" w:hAnsi="Arial" w:cs="Arial"/>
          <w:bCs/>
          <w:shd w:val="clear" w:color="auto" w:fill="FFFFFF"/>
        </w:rPr>
        <w:t xml:space="preserve"> a que hacen referencia los numerales 2 y 11</w:t>
      </w:r>
      <w:r w:rsidR="0031006F" w:rsidRPr="00D316A5">
        <w:rPr>
          <w:rFonts w:ascii="Arial" w:hAnsi="Arial" w:cs="Arial"/>
          <w:bCs/>
          <w:shd w:val="clear" w:color="auto" w:fill="FFFFFF"/>
        </w:rPr>
        <w:t xml:space="preserve"> del art</w:t>
      </w:r>
      <w:r w:rsidR="004F4218">
        <w:rPr>
          <w:rFonts w:ascii="Arial" w:hAnsi="Arial" w:cs="Arial"/>
          <w:bCs/>
          <w:shd w:val="clear" w:color="auto" w:fill="FFFFFF"/>
        </w:rPr>
        <w:t>ículo</w:t>
      </w:r>
      <w:r w:rsidR="0031006F" w:rsidRPr="00D316A5">
        <w:rPr>
          <w:rFonts w:ascii="Arial" w:hAnsi="Arial" w:cs="Arial"/>
          <w:bCs/>
          <w:shd w:val="clear" w:color="auto" w:fill="FFFFFF"/>
        </w:rPr>
        <w:t xml:space="preserve"> 11 del CPACA,</w:t>
      </w:r>
      <w:r w:rsidR="00BC1BE3">
        <w:rPr>
          <w:rFonts w:ascii="Arial" w:hAnsi="Arial" w:cs="Arial"/>
          <w:bCs/>
          <w:shd w:val="clear" w:color="auto" w:fill="FFFFFF"/>
        </w:rPr>
        <w:t xml:space="preserve"> no basta con que el servidor haya conocido con anterioridad del asunto o que haya conceptuado sobre el mismo, sin</w:t>
      </w:r>
      <w:r w:rsidR="003C7202">
        <w:rPr>
          <w:rFonts w:ascii="Arial" w:hAnsi="Arial" w:cs="Arial"/>
          <w:bCs/>
          <w:shd w:val="clear" w:color="auto" w:fill="FFFFFF"/>
        </w:rPr>
        <w:t>o que debe tener poder de decidir de fondo</w:t>
      </w:r>
      <w:r w:rsidR="00BC1BE3">
        <w:rPr>
          <w:rFonts w:ascii="Arial" w:hAnsi="Arial" w:cs="Arial"/>
          <w:bCs/>
          <w:shd w:val="clear" w:color="auto" w:fill="FFFFFF"/>
        </w:rPr>
        <w:t xml:space="preserve"> sobre el mismo, facultad que está reservada a las autoridades administrativas en el marco de los PARD. De igual modo, es preciso manifestar que las actuaciones surg</w:t>
      </w:r>
      <w:r w:rsidR="003C7202">
        <w:rPr>
          <w:rFonts w:ascii="Arial" w:hAnsi="Arial" w:cs="Arial"/>
          <w:bCs/>
          <w:shd w:val="clear" w:color="auto" w:fill="FFFFFF"/>
        </w:rPr>
        <w:t xml:space="preserve">idas en el marco de un procedimiento administrativo no podrían generar conflictos de intereses o dar lugar a recusaciones </w:t>
      </w:r>
      <w:r w:rsidR="00867DC6">
        <w:rPr>
          <w:rFonts w:ascii="Arial" w:hAnsi="Arial" w:cs="Arial"/>
          <w:bCs/>
          <w:shd w:val="clear" w:color="auto" w:fill="FFFFFF"/>
        </w:rPr>
        <w:t xml:space="preserve">teniendo en cuenta su carácter procedimental y no sustancial </w:t>
      </w:r>
      <w:r w:rsidR="00331030">
        <w:rPr>
          <w:rFonts w:ascii="Arial" w:hAnsi="Arial" w:cs="Arial"/>
          <w:bCs/>
          <w:shd w:val="clear" w:color="auto" w:fill="FFFFFF"/>
        </w:rPr>
        <w:t>tal y como sucede en el caso de las solicitud de aval para ampliación de términos de seguimiento en los PARD, donde si se cumplen los requisitos de la Resolución 11199 de 2019 se concedería dicho aval, sin tener injerencia en la decisión de fondo que adopte la autoridad administrativa.</w:t>
      </w:r>
      <w:r w:rsidR="003C7202">
        <w:rPr>
          <w:rFonts w:ascii="Arial" w:hAnsi="Arial" w:cs="Arial"/>
          <w:bCs/>
          <w:shd w:val="clear" w:color="auto" w:fill="FFFFFF"/>
        </w:rPr>
        <w:t xml:space="preserve"> </w:t>
      </w:r>
    </w:p>
    <w:p w14:paraId="681CCCCC" w14:textId="77777777" w:rsidR="00544249" w:rsidRDefault="00544249" w:rsidP="00BE2383">
      <w:pPr>
        <w:spacing w:after="0" w:line="240" w:lineRule="auto"/>
        <w:jc w:val="both"/>
        <w:rPr>
          <w:rFonts w:ascii="Arial" w:hAnsi="Arial" w:cs="Arial"/>
          <w:bCs/>
          <w:shd w:val="clear" w:color="auto" w:fill="FFFFFF"/>
        </w:rPr>
      </w:pPr>
    </w:p>
    <w:p w14:paraId="6C1284FE" w14:textId="7415855E" w:rsidR="00210709" w:rsidRPr="00D316A5" w:rsidRDefault="00210709" w:rsidP="00BE2383">
      <w:pPr>
        <w:spacing w:after="0" w:line="240" w:lineRule="auto"/>
        <w:jc w:val="both"/>
        <w:rPr>
          <w:rFonts w:ascii="Arial" w:hAnsi="Arial" w:cs="Arial"/>
          <w:bCs/>
          <w:shd w:val="clear" w:color="auto" w:fill="FFFFFF"/>
        </w:rPr>
      </w:pPr>
    </w:p>
    <w:p w14:paraId="17855A90" w14:textId="06B7AF0D" w:rsidR="00901DC3" w:rsidRPr="00D316A5" w:rsidRDefault="00901DC3" w:rsidP="00BE2383">
      <w:pPr>
        <w:spacing w:after="0" w:line="240" w:lineRule="auto"/>
        <w:jc w:val="both"/>
        <w:rPr>
          <w:rFonts w:ascii="Arial" w:hAnsi="Arial" w:cs="Arial"/>
        </w:rPr>
      </w:pPr>
    </w:p>
    <w:p w14:paraId="23A3252B" w14:textId="404652B4" w:rsidR="007D7362" w:rsidRPr="00D316A5" w:rsidRDefault="00B54139" w:rsidP="00BE2383">
      <w:pPr>
        <w:spacing w:after="0" w:line="240" w:lineRule="auto"/>
        <w:jc w:val="both"/>
        <w:rPr>
          <w:rFonts w:ascii="Arial" w:hAnsi="Arial" w:cs="Arial"/>
        </w:rPr>
      </w:pPr>
      <w:r w:rsidRPr="00D316A5">
        <w:rPr>
          <w:rFonts w:ascii="Arial" w:hAnsi="Arial" w:cs="Arial"/>
        </w:rPr>
        <w:t xml:space="preserve">Sobre </w:t>
      </w:r>
      <w:r w:rsidR="00BB0A5C" w:rsidRPr="00D316A5">
        <w:rPr>
          <w:rFonts w:ascii="Arial" w:hAnsi="Arial" w:cs="Arial"/>
        </w:rPr>
        <w:t xml:space="preserve">causales </w:t>
      </w:r>
      <w:r w:rsidRPr="00D316A5">
        <w:rPr>
          <w:rFonts w:ascii="Arial" w:hAnsi="Arial" w:cs="Arial"/>
        </w:rPr>
        <w:t>de impedimento</w:t>
      </w:r>
      <w:r w:rsidR="00BB0A5C" w:rsidRPr="00D316A5">
        <w:rPr>
          <w:rFonts w:ascii="Arial" w:hAnsi="Arial" w:cs="Arial"/>
        </w:rPr>
        <w:t xml:space="preserve"> similares</w:t>
      </w:r>
      <w:r w:rsidRPr="00D316A5">
        <w:rPr>
          <w:rFonts w:ascii="Arial" w:hAnsi="Arial" w:cs="Arial"/>
        </w:rPr>
        <w:t>,</w:t>
      </w:r>
      <w:r w:rsidR="007D7362" w:rsidRPr="00D316A5">
        <w:rPr>
          <w:rFonts w:ascii="Arial" w:hAnsi="Arial" w:cs="Arial"/>
        </w:rPr>
        <w:t xml:space="preserve"> el Consejo de Estado </w:t>
      </w:r>
      <w:r w:rsidR="00BB0A5C" w:rsidRPr="00D316A5">
        <w:rPr>
          <w:rFonts w:ascii="Arial" w:hAnsi="Arial" w:cs="Arial"/>
        </w:rPr>
        <w:t>explicó</w:t>
      </w:r>
      <w:r w:rsidR="007D7362" w:rsidRPr="00D316A5">
        <w:rPr>
          <w:rFonts w:ascii="Arial" w:hAnsi="Arial" w:cs="Arial"/>
        </w:rPr>
        <w:t xml:space="preserve">: </w:t>
      </w:r>
    </w:p>
    <w:p w14:paraId="053EDDFC" w14:textId="331FB409" w:rsidR="007D7362" w:rsidRPr="00D316A5" w:rsidRDefault="007D7362" w:rsidP="00BE2383">
      <w:pPr>
        <w:pStyle w:val="NormalWeb"/>
        <w:ind w:left="567"/>
        <w:jc w:val="both"/>
        <w:rPr>
          <w:rFonts w:ascii="Arial" w:hAnsi="Arial" w:cs="Arial"/>
          <w:i/>
          <w:sz w:val="20"/>
          <w:szCs w:val="20"/>
        </w:rPr>
      </w:pPr>
      <w:r w:rsidRPr="00D316A5">
        <w:rPr>
          <w:rFonts w:ascii="Arial" w:hAnsi="Arial" w:cs="Arial"/>
          <w:i/>
          <w:sz w:val="20"/>
          <w:szCs w:val="20"/>
        </w:rPr>
        <w:t>“La participación en el proceso a la que alude el artículo 56.6 del Código de Procedimiento Penal, y que lleva al juez a declararse impedido para conocer de determinado asunto, no puede verse de manera literal, (…), sino que es necesario constatar, en cada caso, si la intervención en el proceso primigenio fue de tal trascendencia que puede llegar a comprometer su objetividad o ecuanimidad en esta nueva causa. En otras palabras, «</w:t>
      </w:r>
      <w:r w:rsidRPr="00D316A5">
        <w:rPr>
          <w:rFonts w:ascii="Arial" w:hAnsi="Arial" w:cs="Arial"/>
          <w:i/>
          <w:iCs/>
          <w:sz w:val="20"/>
          <w:szCs w:val="20"/>
        </w:rPr>
        <w:t xml:space="preserve">su actividad dentro del </w:t>
      </w:r>
      <w:proofErr w:type="gramStart"/>
      <w:r w:rsidRPr="00D316A5">
        <w:rPr>
          <w:rFonts w:ascii="Arial" w:hAnsi="Arial" w:cs="Arial"/>
          <w:i/>
          <w:iCs/>
          <w:sz w:val="20"/>
          <w:szCs w:val="20"/>
        </w:rPr>
        <w:t>proceso,</w:t>
      </w:r>
      <w:proofErr w:type="gramEnd"/>
      <w:r w:rsidRPr="00D316A5">
        <w:rPr>
          <w:rFonts w:ascii="Arial" w:hAnsi="Arial" w:cs="Arial"/>
          <w:i/>
          <w:iCs/>
          <w:sz w:val="20"/>
          <w:szCs w:val="20"/>
        </w:rPr>
        <w:t xml:space="preserve"> debe haber sido esencial y no simplemente formal, de fondo, sustancial, trascendente, que lo vincule con la actuación puesta a su consideración de tal manera que le impida actuar con la imparcialidad y la ponderación que de él esperan no solamente los sujetos procesales sino la comunidad en general</w:t>
      </w:r>
      <w:r w:rsidRPr="00D316A5">
        <w:rPr>
          <w:rFonts w:ascii="Arial" w:hAnsi="Arial" w:cs="Arial"/>
          <w:i/>
          <w:sz w:val="20"/>
          <w:szCs w:val="20"/>
        </w:rPr>
        <w:t>»</w:t>
      </w:r>
    </w:p>
    <w:p w14:paraId="64A596F2" w14:textId="443D6519" w:rsidR="007D7362" w:rsidRPr="00D316A5" w:rsidRDefault="007D7362" w:rsidP="00BE2383">
      <w:pPr>
        <w:pStyle w:val="NormalWeb"/>
        <w:ind w:left="567"/>
        <w:jc w:val="both"/>
        <w:rPr>
          <w:rFonts w:ascii="Arial" w:hAnsi="Arial" w:cs="Arial"/>
          <w:sz w:val="20"/>
          <w:szCs w:val="20"/>
        </w:rPr>
      </w:pPr>
      <w:r w:rsidRPr="00D316A5">
        <w:rPr>
          <w:rFonts w:ascii="Arial" w:hAnsi="Arial" w:cs="Arial"/>
          <w:i/>
          <w:sz w:val="20"/>
          <w:szCs w:val="20"/>
        </w:rPr>
        <w:t xml:space="preserve">De ahí que la jurisprudencia de la Corte Constitucional —la cual, valga decir, es estricta en materia de impedimentos y recusaciones— </w:t>
      </w:r>
      <w:r w:rsidRPr="00D316A5">
        <w:rPr>
          <w:rFonts w:ascii="Arial" w:hAnsi="Arial" w:cs="Arial"/>
          <w:i/>
          <w:sz w:val="20"/>
          <w:szCs w:val="20"/>
          <w:u w:val="single"/>
        </w:rPr>
        <w:t xml:space="preserve">no permite la separación del conocimiento de los casos a aquellos funcionarios que, aunque han tenido alguna participación dentro del proceso, </w:t>
      </w:r>
      <w:r w:rsidRPr="00D316A5">
        <w:rPr>
          <w:rFonts w:ascii="Arial" w:hAnsi="Arial" w:cs="Arial"/>
          <w:i/>
          <w:sz w:val="20"/>
          <w:szCs w:val="20"/>
          <w:u w:val="single"/>
        </w:rPr>
        <w:lastRenderedPageBreak/>
        <w:t>no han adoptado ninguna decisión de fondo sobre la causa que pueda comprometer su imparcialidad</w:t>
      </w:r>
      <w:r w:rsidRPr="00D316A5">
        <w:rPr>
          <w:rStyle w:val="Refdenotaalpie"/>
          <w:rFonts w:ascii="Arial" w:hAnsi="Arial" w:cs="Arial"/>
          <w:i/>
          <w:sz w:val="20"/>
          <w:szCs w:val="20"/>
          <w:u w:val="single"/>
        </w:rPr>
        <w:footnoteReference w:id="9"/>
      </w:r>
      <w:r w:rsidRPr="00D316A5">
        <w:rPr>
          <w:rFonts w:ascii="Arial" w:hAnsi="Arial" w:cs="Arial"/>
          <w:i/>
          <w:sz w:val="20"/>
          <w:szCs w:val="20"/>
          <w:u w:val="single"/>
        </w:rPr>
        <w:t>”</w:t>
      </w:r>
      <w:r w:rsidR="000712F1" w:rsidRPr="00D316A5">
        <w:rPr>
          <w:rFonts w:ascii="Arial" w:hAnsi="Arial" w:cs="Arial"/>
          <w:i/>
          <w:sz w:val="20"/>
          <w:szCs w:val="20"/>
          <w:u w:val="single"/>
        </w:rPr>
        <w:t>.</w:t>
      </w:r>
      <w:r w:rsidRPr="00D316A5">
        <w:rPr>
          <w:rFonts w:ascii="Arial" w:hAnsi="Arial" w:cs="Arial"/>
          <w:i/>
          <w:sz w:val="20"/>
          <w:szCs w:val="20"/>
          <w:u w:val="single"/>
        </w:rPr>
        <w:t xml:space="preserve"> </w:t>
      </w:r>
      <w:r w:rsidR="00E831CA" w:rsidRPr="00D316A5">
        <w:rPr>
          <w:rFonts w:ascii="Arial" w:hAnsi="Arial" w:cs="Arial"/>
          <w:sz w:val="20"/>
          <w:szCs w:val="20"/>
        </w:rPr>
        <w:t xml:space="preserve"> (Subraya fuera de texto)</w:t>
      </w:r>
    </w:p>
    <w:p w14:paraId="7E4ACD9F" w14:textId="76C23564" w:rsidR="00211D14" w:rsidRPr="00D316A5" w:rsidRDefault="00B54139" w:rsidP="00BE2383">
      <w:pPr>
        <w:pStyle w:val="NormalWeb"/>
        <w:jc w:val="both"/>
        <w:rPr>
          <w:rFonts w:ascii="Arial" w:hAnsi="Arial" w:cs="Arial"/>
          <w:sz w:val="22"/>
          <w:szCs w:val="22"/>
        </w:rPr>
      </w:pPr>
      <w:r w:rsidRPr="00D316A5">
        <w:rPr>
          <w:rFonts w:ascii="Arial" w:hAnsi="Arial" w:cs="Arial"/>
          <w:sz w:val="22"/>
          <w:szCs w:val="22"/>
        </w:rPr>
        <w:t>Pese a que</w:t>
      </w:r>
      <w:r w:rsidR="00211D14" w:rsidRPr="00D316A5">
        <w:rPr>
          <w:rFonts w:ascii="Arial" w:hAnsi="Arial" w:cs="Arial"/>
          <w:sz w:val="22"/>
          <w:szCs w:val="22"/>
        </w:rPr>
        <w:t xml:space="preserve"> el Consejo de Estado se pronunció sobre una situación de impedimento generada en el contexto del Código de Procedimiento </w:t>
      </w:r>
      <w:r w:rsidR="0085585D" w:rsidRPr="00D316A5">
        <w:rPr>
          <w:rFonts w:ascii="Arial" w:hAnsi="Arial" w:cs="Arial"/>
          <w:sz w:val="22"/>
          <w:szCs w:val="22"/>
        </w:rPr>
        <w:t>P</w:t>
      </w:r>
      <w:r w:rsidR="00211D14" w:rsidRPr="00D316A5">
        <w:rPr>
          <w:rFonts w:ascii="Arial" w:hAnsi="Arial" w:cs="Arial"/>
          <w:sz w:val="22"/>
          <w:szCs w:val="22"/>
        </w:rPr>
        <w:t>enal aplicad</w:t>
      </w:r>
      <w:r w:rsidR="00FA2FA4" w:rsidRPr="00D316A5">
        <w:rPr>
          <w:rFonts w:ascii="Arial" w:hAnsi="Arial" w:cs="Arial"/>
          <w:sz w:val="22"/>
          <w:szCs w:val="22"/>
        </w:rPr>
        <w:t>a</w:t>
      </w:r>
      <w:r w:rsidR="00211D14" w:rsidRPr="00D316A5">
        <w:rPr>
          <w:rFonts w:ascii="Arial" w:hAnsi="Arial" w:cs="Arial"/>
          <w:sz w:val="22"/>
          <w:szCs w:val="22"/>
        </w:rPr>
        <w:t xml:space="preserve"> a los jueces, la argumentación resulta aplicable al caso que nos ocupa, como quiera que se contextualiza </w:t>
      </w:r>
      <w:r w:rsidR="006F54D5" w:rsidRPr="00D316A5">
        <w:rPr>
          <w:rFonts w:ascii="Arial" w:hAnsi="Arial" w:cs="Arial"/>
          <w:sz w:val="22"/>
          <w:szCs w:val="22"/>
        </w:rPr>
        <w:t xml:space="preserve">el alcance de la causal sobre los “asuntos” que son susceptibles de afectar </w:t>
      </w:r>
      <w:r w:rsidR="000F1EE1">
        <w:rPr>
          <w:rFonts w:ascii="Arial" w:hAnsi="Arial" w:cs="Arial"/>
          <w:sz w:val="22"/>
          <w:szCs w:val="22"/>
        </w:rPr>
        <w:t xml:space="preserve">la </w:t>
      </w:r>
      <w:r w:rsidR="006F54D5" w:rsidRPr="00D316A5">
        <w:rPr>
          <w:rFonts w:ascii="Arial" w:hAnsi="Arial" w:cs="Arial"/>
          <w:sz w:val="22"/>
          <w:szCs w:val="22"/>
        </w:rPr>
        <w:t>objetividad</w:t>
      </w:r>
      <w:r w:rsidR="000F1EE1">
        <w:rPr>
          <w:rFonts w:ascii="Arial" w:hAnsi="Arial" w:cs="Arial"/>
          <w:sz w:val="22"/>
          <w:szCs w:val="22"/>
        </w:rPr>
        <w:t xml:space="preserve"> del servidor público</w:t>
      </w:r>
      <w:r w:rsidR="006F54D5" w:rsidRPr="00D316A5">
        <w:rPr>
          <w:rFonts w:ascii="Arial" w:hAnsi="Arial" w:cs="Arial"/>
          <w:sz w:val="22"/>
          <w:szCs w:val="22"/>
        </w:rPr>
        <w:t>.</w:t>
      </w:r>
      <w:r w:rsidR="00211D14" w:rsidRPr="00D316A5">
        <w:rPr>
          <w:rFonts w:ascii="Arial" w:hAnsi="Arial" w:cs="Arial"/>
          <w:sz w:val="22"/>
          <w:szCs w:val="22"/>
        </w:rPr>
        <w:t xml:space="preserve"> </w:t>
      </w:r>
    </w:p>
    <w:p w14:paraId="67C4FC5C" w14:textId="74F795D1" w:rsidR="00191862" w:rsidRPr="00D316A5" w:rsidRDefault="00E831CA" w:rsidP="00BE2383">
      <w:pPr>
        <w:spacing w:after="0" w:line="240" w:lineRule="auto"/>
        <w:jc w:val="both"/>
        <w:rPr>
          <w:rFonts w:ascii="Arial" w:hAnsi="Arial" w:cs="Arial"/>
          <w:b/>
          <w:bCs/>
        </w:rPr>
      </w:pPr>
      <w:r w:rsidRPr="00D316A5">
        <w:rPr>
          <w:rFonts w:ascii="Arial" w:hAnsi="Arial" w:cs="Arial"/>
          <w:b/>
          <w:bCs/>
        </w:rPr>
        <w:t>3</w:t>
      </w:r>
      <w:r w:rsidR="00D316A5" w:rsidRPr="00D316A5">
        <w:rPr>
          <w:rFonts w:ascii="Arial" w:hAnsi="Arial" w:cs="Arial"/>
          <w:b/>
          <w:bCs/>
        </w:rPr>
        <w:t>.</w:t>
      </w:r>
      <w:r w:rsidRPr="00D316A5">
        <w:rPr>
          <w:rFonts w:ascii="Arial" w:hAnsi="Arial" w:cs="Arial"/>
          <w:b/>
          <w:bCs/>
        </w:rPr>
        <w:t xml:space="preserve"> </w:t>
      </w:r>
      <w:r w:rsidR="00191862" w:rsidRPr="00D316A5">
        <w:rPr>
          <w:rFonts w:ascii="Arial" w:hAnsi="Arial" w:cs="Arial"/>
          <w:b/>
          <w:bCs/>
        </w:rPr>
        <w:t>Solución al problema jurídico</w:t>
      </w:r>
    </w:p>
    <w:p w14:paraId="546C8659" w14:textId="1B095F84" w:rsidR="00191862" w:rsidRDefault="00191862" w:rsidP="00BE2383">
      <w:pPr>
        <w:spacing w:after="0" w:line="240" w:lineRule="auto"/>
        <w:jc w:val="both"/>
        <w:rPr>
          <w:rFonts w:ascii="Arial" w:hAnsi="Arial" w:cs="Arial"/>
        </w:rPr>
      </w:pPr>
    </w:p>
    <w:p w14:paraId="51A216A1" w14:textId="6B5D07A4" w:rsidR="00E2186B" w:rsidRDefault="00E2186B" w:rsidP="00BE2383">
      <w:pPr>
        <w:spacing w:after="0" w:line="240" w:lineRule="auto"/>
        <w:jc w:val="both"/>
        <w:rPr>
          <w:rFonts w:ascii="Arial" w:hAnsi="Arial" w:cs="Arial"/>
        </w:rPr>
      </w:pPr>
      <w:r>
        <w:rPr>
          <w:rFonts w:ascii="Arial" w:hAnsi="Arial" w:cs="Arial"/>
        </w:rPr>
        <w:t xml:space="preserve">Considerando que la solicitud está compuesta por dos interrogantes, los cuales fueron planteados en el problema jurídico, procederemos a dar una respuesta concreta a cada uno de ellos de la siguiente manera: </w:t>
      </w:r>
    </w:p>
    <w:p w14:paraId="1303FCE4" w14:textId="77777777" w:rsidR="00E2186B" w:rsidRPr="00D316A5" w:rsidRDefault="00E2186B" w:rsidP="00BE2383">
      <w:pPr>
        <w:spacing w:after="0" w:line="240" w:lineRule="auto"/>
        <w:jc w:val="both"/>
        <w:rPr>
          <w:rFonts w:ascii="Arial" w:hAnsi="Arial" w:cs="Arial"/>
        </w:rPr>
      </w:pPr>
    </w:p>
    <w:p w14:paraId="149003BD" w14:textId="0F873271" w:rsidR="004B52F3" w:rsidRDefault="00062FA7" w:rsidP="00BE2383">
      <w:pPr>
        <w:spacing w:after="0" w:line="240" w:lineRule="auto"/>
        <w:jc w:val="both"/>
        <w:rPr>
          <w:rFonts w:ascii="Arial" w:hAnsi="Arial" w:cs="Arial"/>
        </w:rPr>
      </w:pPr>
      <w:r w:rsidRPr="002A3BDC">
        <w:rPr>
          <w:rFonts w:ascii="Arial" w:hAnsi="Arial" w:cs="Arial"/>
          <w:b/>
          <w:bCs/>
          <w:shd w:val="clear" w:color="auto" w:fill="FFFFFF"/>
        </w:rPr>
        <w:t>3.1.-</w:t>
      </w:r>
      <w:r>
        <w:rPr>
          <w:rFonts w:ascii="Arial" w:hAnsi="Arial" w:cs="Arial"/>
          <w:bCs/>
          <w:shd w:val="clear" w:color="auto" w:fill="FFFFFF"/>
        </w:rPr>
        <w:t xml:space="preserve"> </w:t>
      </w:r>
      <w:r w:rsidR="00AE1BFC">
        <w:rPr>
          <w:rFonts w:ascii="Arial" w:hAnsi="Arial" w:cs="Arial"/>
          <w:bCs/>
          <w:shd w:val="clear" w:color="auto" w:fill="FFFFFF"/>
        </w:rPr>
        <w:t xml:space="preserve">Las causales de impedimento </w:t>
      </w:r>
      <w:r w:rsidR="00AE1BFC" w:rsidRPr="00D316A5">
        <w:rPr>
          <w:rFonts w:ascii="Arial" w:hAnsi="Arial" w:cs="Arial"/>
          <w:bCs/>
          <w:shd w:val="clear" w:color="auto" w:fill="FFFFFF"/>
        </w:rPr>
        <w:t>tienen un carácter excepcional y taxativo, lo cual exige que sean interpretadas de manera restrictiva</w:t>
      </w:r>
      <w:r w:rsidR="00AE1BFC">
        <w:rPr>
          <w:rFonts w:ascii="Arial" w:hAnsi="Arial" w:cs="Arial"/>
        </w:rPr>
        <w:t xml:space="preserve"> </w:t>
      </w:r>
      <w:r w:rsidR="004B52F3">
        <w:rPr>
          <w:rFonts w:ascii="Arial" w:hAnsi="Arial" w:cs="Arial"/>
        </w:rPr>
        <w:t>N</w:t>
      </w:r>
      <w:r w:rsidR="004B52F3" w:rsidRPr="00D316A5">
        <w:rPr>
          <w:rFonts w:ascii="Arial" w:hAnsi="Arial" w:cs="Arial"/>
        </w:rPr>
        <w:t xml:space="preserve">o hay lugar a conflicto de intereses </w:t>
      </w:r>
      <w:r w:rsidR="004B52F3">
        <w:rPr>
          <w:rFonts w:ascii="Arial" w:hAnsi="Arial" w:cs="Arial"/>
        </w:rPr>
        <w:t xml:space="preserve">o </w:t>
      </w:r>
      <w:r w:rsidR="004B52F3" w:rsidRPr="00D316A5">
        <w:rPr>
          <w:rFonts w:ascii="Arial" w:hAnsi="Arial" w:cs="Arial"/>
        </w:rPr>
        <w:t xml:space="preserve">impedimento </w:t>
      </w:r>
      <w:r w:rsidR="004B52F3">
        <w:rPr>
          <w:rFonts w:ascii="Arial" w:hAnsi="Arial" w:cs="Arial"/>
        </w:rPr>
        <w:t xml:space="preserve">de carácter </w:t>
      </w:r>
      <w:r w:rsidR="004B52F3" w:rsidRPr="00D316A5">
        <w:rPr>
          <w:rFonts w:ascii="Arial" w:hAnsi="Arial" w:cs="Arial"/>
        </w:rPr>
        <w:t>colectivo o grupal</w:t>
      </w:r>
      <w:r w:rsidR="004B52F3">
        <w:rPr>
          <w:rFonts w:ascii="Arial" w:hAnsi="Arial" w:cs="Arial"/>
        </w:rPr>
        <w:t xml:space="preserve">. </w:t>
      </w:r>
      <w:r w:rsidR="004E528B">
        <w:rPr>
          <w:rFonts w:ascii="Arial" w:hAnsi="Arial" w:cs="Arial"/>
        </w:rPr>
        <w:t xml:space="preserve">Esa figura es </w:t>
      </w:r>
      <w:r w:rsidR="004B52F3" w:rsidRPr="00D316A5">
        <w:rPr>
          <w:rFonts w:ascii="Arial" w:hAnsi="Arial" w:cs="Arial"/>
        </w:rPr>
        <w:t>particular, direct</w:t>
      </w:r>
      <w:r w:rsidR="004E528B">
        <w:rPr>
          <w:rFonts w:ascii="Arial" w:hAnsi="Arial" w:cs="Arial"/>
        </w:rPr>
        <w:t>a</w:t>
      </w:r>
      <w:r w:rsidR="004B52F3" w:rsidRPr="00D316A5">
        <w:rPr>
          <w:rFonts w:ascii="Arial" w:hAnsi="Arial" w:cs="Arial"/>
        </w:rPr>
        <w:t xml:space="preserve"> y se predica de la autoridad administrativa con competencia para decidir de fondo</w:t>
      </w:r>
      <w:r w:rsidR="004E528B">
        <w:rPr>
          <w:rFonts w:ascii="Arial" w:hAnsi="Arial" w:cs="Arial"/>
        </w:rPr>
        <w:t xml:space="preserve"> un caso concreto</w:t>
      </w:r>
      <w:r w:rsidR="004B52F3" w:rsidRPr="00D316A5">
        <w:rPr>
          <w:rFonts w:ascii="Arial" w:hAnsi="Arial" w:cs="Arial"/>
        </w:rPr>
        <w:t xml:space="preserve">, cuando incurre en las situaciones previstas en el artículo 11 del C.P.A.C.A </w:t>
      </w:r>
      <w:r w:rsidR="004E528B">
        <w:rPr>
          <w:rFonts w:ascii="Arial" w:hAnsi="Arial" w:cs="Arial"/>
        </w:rPr>
        <w:t>y demás leyes</w:t>
      </w:r>
      <w:r w:rsidR="004B52F3" w:rsidRPr="00D316A5">
        <w:rPr>
          <w:rFonts w:ascii="Arial" w:hAnsi="Arial" w:cs="Arial"/>
        </w:rPr>
        <w:t>.</w:t>
      </w:r>
    </w:p>
    <w:p w14:paraId="43BF1E0B" w14:textId="77777777" w:rsidR="004B52F3" w:rsidRDefault="004B52F3" w:rsidP="00BE2383">
      <w:pPr>
        <w:spacing w:after="0" w:line="240" w:lineRule="auto"/>
        <w:jc w:val="both"/>
        <w:rPr>
          <w:rFonts w:ascii="Arial" w:hAnsi="Arial" w:cs="Arial"/>
        </w:rPr>
      </w:pPr>
    </w:p>
    <w:p w14:paraId="47DC0AF8" w14:textId="73EC1A70" w:rsidR="004929B2" w:rsidRPr="00D316A5" w:rsidRDefault="00783C06" w:rsidP="00BE2383">
      <w:pPr>
        <w:spacing w:after="0" w:line="240" w:lineRule="auto"/>
        <w:jc w:val="both"/>
        <w:rPr>
          <w:rFonts w:ascii="Arial" w:hAnsi="Arial" w:cs="Arial"/>
        </w:rPr>
      </w:pPr>
      <w:r>
        <w:rPr>
          <w:rFonts w:ascii="Arial" w:hAnsi="Arial" w:cs="Arial"/>
        </w:rPr>
        <w:t>Una de l</w:t>
      </w:r>
      <w:r w:rsidR="00B94200" w:rsidRPr="00D316A5">
        <w:rPr>
          <w:rFonts w:ascii="Arial" w:hAnsi="Arial" w:cs="Arial"/>
        </w:rPr>
        <w:t>a</w:t>
      </w:r>
      <w:r>
        <w:rPr>
          <w:rFonts w:ascii="Arial" w:hAnsi="Arial" w:cs="Arial"/>
        </w:rPr>
        <w:t>s</w:t>
      </w:r>
      <w:r w:rsidR="00B94200" w:rsidRPr="00D316A5">
        <w:rPr>
          <w:rFonts w:ascii="Arial" w:hAnsi="Arial" w:cs="Arial"/>
        </w:rPr>
        <w:t xml:space="preserve"> funci</w:t>
      </w:r>
      <w:r>
        <w:rPr>
          <w:rFonts w:ascii="Arial" w:hAnsi="Arial" w:cs="Arial"/>
        </w:rPr>
        <w:t>ones</w:t>
      </w:r>
      <w:r w:rsidR="00B94200" w:rsidRPr="00D316A5">
        <w:rPr>
          <w:rFonts w:ascii="Arial" w:hAnsi="Arial" w:cs="Arial"/>
        </w:rPr>
        <w:t xml:space="preserve"> </w:t>
      </w:r>
      <w:r>
        <w:rPr>
          <w:rFonts w:ascii="Arial" w:hAnsi="Arial" w:cs="Arial"/>
        </w:rPr>
        <w:t xml:space="preserve">más destacadas </w:t>
      </w:r>
      <w:r w:rsidR="00B94200" w:rsidRPr="00D316A5">
        <w:rPr>
          <w:rFonts w:ascii="Arial" w:hAnsi="Arial" w:cs="Arial"/>
        </w:rPr>
        <w:t>de la Coordinación de Autoridades Administrativas se centra en el asesoramiento técnico a las Defensorías de Familia o las Comisar</w:t>
      </w:r>
      <w:r>
        <w:rPr>
          <w:rFonts w:ascii="Arial" w:hAnsi="Arial" w:cs="Arial"/>
        </w:rPr>
        <w:t>í</w:t>
      </w:r>
      <w:r w:rsidR="00B94200" w:rsidRPr="00D316A5">
        <w:rPr>
          <w:rFonts w:ascii="Arial" w:hAnsi="Arial" w:cs="Arial"/>
        </w:rPr>
        <w:t>as de Familia y sus equipos interdisciplinarios</w:t>
      </w:r>
      <w:r>
        <w:rPr>
          <w:rFonts w:ascii="Arial" w:hAnsi="Arial" w:cs="Arial"/>
        </w:rPr>
        <w:t>. Ello, en principio,</w:t>
      </w:r>
      <w:r w:rsidR="00B94200" w:rsidRPr="00D316A5">
        <w:rPr>
          <w:rFonts w:ascii="Arial" w:hAnsi="Arial" w:cs="Arial"/>
        </w:rPr>
        <w:t xml:space="preserve"> </w:t>
      </w:r>
      <w:r>
        <w:rPr>
          <w:rFonts w:ascii="Arial" w:hAnsi="Arial" w:cs="Arial"/>
        </w:rPr>
        <w:t xml:space="preserve">no implica </w:t>
      </w:r>
      <w:r w:rsidR="00B94200" w:rsidRPr="00D316A5">
        <w:rPr>
          <w:rFonts w:ascii="Arial" w:hAnsi="Arial" w:cs="Arial"/>
        </w:rPr>
        <w:t xml:space="preserve">la adopción de </w:t>
      </w:r>
      <w:r w:rsidR="003C555F">
        <w:rPr>
          <w:rFonts w:ascii="Arial" w:hAnsi="Arial" w:cs="Arial"/>
        </w:rPr>
        <w:t xml:space="preserve">alguna </w:t>
      </w:r>
      <w:r w:rsidR="00B94200" w:rsidRPr="00D316A5">
        <w:rPr>
          <w:rFonts w:ascii="Arial" w:hAnsi="Arial" w:cs="Arial"/>
        </w:rPr>
        <w:t xml:space="preserve">decisión de fondo sobre </w:t>
      </w:r>
      <w:r>
        <w:rPr>
          <w:rFonts w:ascii="Arial" w:hAnsi="Arial" w:cs="Arial"/>
        </w:rPr>
        <w:t xml:space="preserve">un </w:t>
      </w:r>
      <w:r w:rsidR="00B94200" w:rsidRPr="00D316A5">
        <w:rPr>
          <w:rFonts w:ascii="Arial" w:hAnsi="Arial" w:cs="Arial"/>
        </w:rPr>
        <w:t>proceso administrativo de restablecimiento de derechos</w:t>
      </w:r>
      <w:r>
        <w:rPr>
          <w:rFonts w:ascii="Arial" w:hAnsi="Arial" w:cs="Arial"/>
        </w:rPr>
        <w:t xml:space="preserve"> concreto</w:t>
      </w:r>
      <w:r w:rsidR="000D6009" w:rsidRPr="00D316A5">
        <w:rPr>
          <w:rFonts w:ascii="Arial" w:hAnsi="Arial" w:cs="Arial"/>
        </w:rPr>
        <w:t xml:space="preserve">. </w:t>
      </w:r>
      <w:r w:rsidR="004E13B4">
        <w:rPr>
          <w:rFonts w:ascii="Arial" w:hAnsi="Arial" w:cs="Arial"/>
        </w:rPr>
        <w:t>Por su parte</w:t>
      </w:r>
      <w:r w:rsidR="000D6009" w:rsidRPr="00D316A5">
        <w:rPr>
          <w:rFonts w:ascii="Arial" w:hAnsi="Arial" w:cs="Arial"/>
        </w:rPr>
        <w:t>, la Dirección de Protección tiene la función de tramitar las solicitudes de aval de prórrogas adicionales de los términos de seguimiento en los PARD</w:t>
      </w:r>
      <w:r w:rsidR="004E13B4">
        <w:rPr>
          <w:rFonts w:ascii="Arial" w:hAnsi="Arial" w:cs="Arial"/>
        </w:rPr>
        <w:t xml:space="preserve"> para lo cual debe tener en cuenta los requisitos </w:t>
      </w:r>
      <w:r w:rsidR="00BE2311">
        <w:rPr>
          <w:rFonts w:ascii="Arial" w:hAnsi="Arial" w:cs="Arial"/>
        </w:rPr>
        <w:t xml:space="preserve">de la </w:t>
      </w:r>
      <w:r w:rsidR="00BE2311" w:rsidRPr="00D316A5">
        <w:rPr>
          <w:rFonts w:ascii="Arial" w:hAnsi="Arial" w:cs="Arial"/>
        </w:rPr>
        <w:t>Resolución N°</w:t>
      </w:r>
      <w:r w:rsidR="00BE2311">
        <w:rPr>
          <w:rFonts w:ascii="Arial" w:hAnsi="Arial" w:cs="Arial"/>
        </w:rPr>
        <w:t xml:space="preserve"> </w:t>
      </w:r>
      <w:r w:rsidR="00BE2311" w:rsidRPr="00D316A5">
        <w:rPr>
          <w:rFonts w:ascii="Arial" w:hAnsi="Arial" w:cs="Arial"/>
        </w:rPr>
        <w:t>11199 de 2019</w:t>
      </w:r>
      <w:r w:rsidR="00B94200" w:rsidRPr="00D316A5">
        <w:rPr>
          <w:rFonts w:ascii="Arial" w:hAnsi="Arial" w:cs="Arial"/>
        </w:rPr>
        <w:t xml:space="preserve">. </w:t>
      </w:r>
    </w:p>
    <w:p w14:paraId="1BFCDD70" w14:textId="4EC7D978" w:rsidR="00561B6E" w:rsidRPr="00D316A5" w:rsidRDefault="00561B6E" w:rsidP="00BE2383">
      <w:pPr>
        <w:spacing w:after="0" w:line="240" w:lineRule="auto"/>
        <w:jc w:val="both"/>
        <w:rPr>
          <w:rFonts w:ascii="Arial" w:hAnsi="Arial" w:cs="Arial"/>
        </w:rPr>
      </w:pPr>
    </w:p>
    <w:p w14:paraId="27E5D427" w14:textId="0E09EEA6" w:rsidR="00170F5B" w:rsidRDefault="00F1306C" w:rsidP="00BE2383">
      <w:pPr>
        <w:spacing w:after="0" w:line="240" w:lineRule="auto"/>
        <w:jc w:val="both"/>
        <w:rPr>
          <w:rFonts w:ascii="Arial" w:hAnsi="Arial" w:cs="Arial"/>
        </w:rPr>
      </w:pPr>
      <w:r>
        <w:rPr>
          <w:rFonts w:ascii="Arial" w:hAnsi="Arial" w:cs="Arial"/>
        </w:rPr>
        <w:t xml:space="preserve">Por regla general, </w:t>
      </w:r>
      <w:r w:rsidR="00B94200" w:rsidRPr="00D316A5">
        <w:rPr>
          <w:rFonts w:ascii="Arial" w:hAnsi="Arial" w:cs="Arial"/>
        </w:rPr>
        <w:t>las solicitudes de pr</w:t>
      </w:r>
      <w:r w:rsidR="00AC4155" w:rsidRPr="00D316A5">
        <w:rPr>
          <w:rFonts w:ascii="Arial" w:hAnsi="Arial" w:cs="Arial"/>
        </w:rPr>
        <w:t>ó</w:t>
      </w:r>
      <w:r w:rsidR="00B94200" w:rsidRPr="00D316A5">
        <w:rPr>
          <w:rFonts w:ascii="Arial" w:hAnsi="Arial" w:cs="Arial"/>
        </w:rPr>
        <w:t xml:space="preserve">rroga adicional que se presenten por las autoridades </w:t>
      </w:r>
      <w:r w:rsidR="004929B2" w:rsidRPr="00D316A5">
        <w:rPr>
          <w:rFonts w:ascii="Arial" w:hAnsi="Arial" w:cs="Arial"/>
        </w:rPr>
        <w:t xml:space="preserve">administrativas ante la Dirección </w:t>
      </w:r>
      <w:r w:rsidR="0078031B" w:rsidRPr="00D316A5">
        <w:rPr>
          <w:rFonts w:ascii="Arial" w:hAnsi="Arial" w:cs="Arial"/>
        </w:rPr>
        <w:t>de Protección</w:t>
      </w:r>
      <w:r w:rsidR="004929B2" w:rsidRPr="00D316A5">
        <w:rPr>
          <w:rFonts w:ascii="Arial" w:hAnsi="Arial" w:cs="Arial"/>
        </w:rPr>
        <w:t xml:space="preserve"> son cuestiones </w:t>
      </w:r>
      <w:r>
        <w:rPr>
          <w:rFonts w:ascii="Arial" w:hAnsi="Arial" w:cs="Arial"/>
        </w:rPr>
        <w:t xml:space="preserve">o “asuntos” </w:t>
      </w:r>
      <w:r w:rsidR="004929B2" w:rsidRPr="00D316A5">
        <w:rPr>
          <w:rFonts w:ascii="Arial" w:hAnsi="Arial" w:cs="Arial"/>
        </w:rPr>
        <w:t>distint</w:t>
      </w:r>
      <w:r>
        <w:rPr>
          <w:rFonts w:ascii="Arial" w:hAnsi="Arial" w:cs="Arial"/>
        </w:rPr>
        <w:t>o</w:t>
      </w:r>
      <w:r w:rsidR="004929B2" w:rsidRPr="00D316A5">
        <w:rPr>
          <w:rFonts w:ascii="Arial" w:hAnsi="Arial" w:cs="Arial"/>
        </w:rPr>
        <w:t>s al apoyo técnico que se brind</w:t>
      </w:r>
      <w:r>
        <w:rPr>
          <w:rFonts w:ascii="Arial" w:hAnsi="Arial" w:cs="Arial"/>
        </w:rPr>
        <w:t>e</w:t>
      </w:r>
      <w:r w:rsidR="00E564F9">
        <w:rPr>
          <w:rFonts w:ascii="Arial" w:hAnsi="Arial" w:cs="Arial"/>
        </w:rPr>
        <w:t xml:space="preserve"> en un caso</w:t>
      </w:r>
      <w:r w:rsidR="004929B2" w:rsidRPr="00D316A5">
        <w:rPr>
          <w:rFonts w:ascii="Arial" w:hAnsi="Arial" w:cs="Arial"/>
        </w:rPr>
        <w:t>.</w:t>
      </w:r>
      <w:r>
        <w:rPr>
          <w:rFonts w:ascii="Arial" w:hAnsi="Arial" w:cs="Arial"/>
        </w:rPr>
        <w:t xml:space="preserve"> Por tanto, </w:t>
      </w:r>
      <w:r w:rsidR="00E564F9">
        <w:rPr>
          <w:rFonts w:ascii="Arial" w:hAnsi="Arial" w:cs="Arial"/>
        </w:rPr>
        <w:t>en tanto no coincidan los elementos que se analizan en esas dos situaciones, no se configura en conflicto de interés establecido en el artículo 11 del CPACA.</w:t>
      </w:r>
    </w:p>
    <w:p w14:paraId="2E1502E3" w14:textId="6DC66584" w:rsidR="00923DCE" w:rsidRDefault="00923DCE" w:rsidP="00BE2383">
      <w:pPr>
        <w:spacing w:after="0" w:line="240" w:lineRule="auto"/>
        <w:jc w:val="both"/>
        <w:rPr>
          <w:rFonts w:ascii="Arial" w:hAnsi="Arial" w:cs="Arial"/>
        </w:rPr>
      </w:pPr>
    </w:p>
    <w:p w14:paraId="5843E261" w14:textId="58B5DC85" w:rsidR="00062FA7" w:rsidRPr="00D316A5" w:rsidRDefault="00062FA7" w:rsidP="00062FA7">
      <w:pPr>
        <w:spacing w:after="0" w:line="240" w:lineRule="auto"/>
        <w:jc w:val="both"/>
        <w:rPr>
          <w:rFonts w:ascii="Arial" w:hAnsi="Arial" w:cs="Arial"/>
        </w:rPr>
      </w:pPr>
      <w:r>
        <w:rPr>
          <w:rFonts w:ascii="Arial" w:hAnsi="Arial" w:cs="Arial"/>
        </w:rPr>
        <w:t>Adicionalmente, el conocimiento previo señalado en el numeral 2 de la norma antes referida supone que debe haberse dado una valoración de fondo, la que por supuesto no se presenta cuando sólo se emite una opinión en relación con asuntos de orden procedimental</w:t>
      </w:r>
    </w:p>
    <w:p w14:paraId="6F317AE0" w14:textId="77777777" w:rsidR="00062FA7" w:rsidRDefault="00062FA7" w:rsidP="00BE2383">
      <w:pPr>
        <w:spacing w:after="0" w:line="240" w:lineRule="auto"/>
        <w:jc w:val="both"/>
        <w:rPr>
          <w:rFonts w:ascii="Arial" w:hAnsi="Arial" w:cs="Arial"/>
        </w:rPr>
      </w:pPr>
    </w:p>
    <w:p w14:paraId="1F7BD4F7" w14:textId="413BC444" w:rsidR="00923DCE" w:rsidRDefault="00062FA7" w:rsidP="00BE2383">
      <w:pPr>
        <w:spacing w:after="0" w:line="240" w:lineRule="auto"/>
        <w:jc w:val="both"/>
        <w:rPr>
          <w:rFonts w:ascii="Arial" w:hAnsi="Arial" w:cs="Arial"/>
        </w:rPr>
      </w:pPr>
      <w:r>
        <w:rPr>
          <w:rFonts w:ascii="Arial" w:hAnsi="Arial" w:cs="Arial"/>
        </w:rPr>
        <w:t xml:space="preserve">De la misma manera, </w:t>
      </w:r>
      <w:r w:rsidR="00923DCE">
        <w:rPr>
          <w:rFonts w:ascii="Arial" w:hAnsi="Arial" w:cs="Arial"/>
        </w:rPr>
        <w:t>como lo señala en forma expres</w:t>
      </w:r>
      <w:r>
        <w:rPr>
          <w:rFonts w:ascii="Arial" w:hAnsi="Arial" w:cs="Arial"/>
        </w:rPr>
        <w:t>a</w:t>
      </w:r>
      <w:r w:rsidR="00923DCE">
        <w:rPr>
          <w:rFonts w:ascii="Arial" w:hAnsi="Arial" w:cs="Arial"/>
        </w:rPr>
        <w:t xml:space="preserve"> el numeral 11 del artículo 11 del CPACA, para que se configur</w:t>
      </w:r>
      <w:r>
        <w:rPr>
          <w:rFonts w:ascii="Arial" w:hAnsi="Arial" w:cs="Arial"/>
        </w:rPr>
        <w:t>e</w:t>
      </w:r>
      <w:r w:rsidR="00923DCE">
        <w:rPr>
          <w:rFonts w:ascii="Arial" w:hAnsi="Arial" w:cs="Arial"/>
        </w:rPr>
        <w:t xml:space="preserve"> la causal de impedimento </w:t>
      </w:r>
      <w:r>
        <w:rPr>
          <w:rFonts w:ascii="Arial" w:hAnsi="Arial" w:cs="Arial"/>
        </w:rPr>
        <w:t xml:space="preserve">o </w:t>
      </w:r>
      <w:r w:rsidR="00923DCE">
        <w:rPr>
          <w:rFonts w:ascii="Arial" w:hAnsi="Arial" w:cs="Arial"/>
        </w:rPr>
        <w:t>de recusación es necesario que el concepto previo haya sido emitido “por fuera de la actuación administrativa”</w:t>
      </w:r>
      <w:r>
        <w:rPr>
          <w:rFonts w:ascii="Arial" w:hAnsi="Arial" w:cs="Arial"/>
        </w:rPr>
        <w:t>.</w:t>
      </w:r>
      <w:r w:rsidR="00923DCE">
        <w:rPr>
          <w:rFonts w:ascii="Arial" w:hAnsi="Arial" w:cs="Arial"/>
        </w:rPr>
        <w:t xml:space="preserve"> </w:t>
      </w:r>
    </w:p>
    <w:p w14:paraId="689E6170" w14:textId="77777777" w:rsidR="00B94200" w:rsidRPr="00D316A5" w:rsidRDefault="00B94200" w:rsidP="00BE2383">
      <w:pPr>
        <w:spacing w:after="0" w:line="240" w:lineRule="auto"/>
        <w:jc w:val="both"/>
        <w:rPr>
          <w:rFonts w:ascii="Arial" w:hAnsi="Arial" w:cs="Arial"/>
        </w:rPr>
      </w:pPr>
    </w:p>
    <w:p w14:paraId="13EABFE4" w14:textId="3AF888B4" w:rsidR="00DC27E1" w:rsidRPr="00D316A5" w:rsidRDefault="00062FA7" w:rsidP="00BE2383">
      <w:pPr>
        <w:spacing w:after="0" w:line="240" w:lineRule="auto"/>
        <w:jc w:val="both"/>
        <w:rPr>
          <w:rFonts w:ascii="Arial" w:hAnsi="Arial" w:cs="Arial"/>
        </w:rPr>
      </w:pPr>
      <w:r w:rsidRPr="002A3BDC">
        <w:rPr>
          <w:rFonts w:ascii="Arial" w:hAnsi="Arial" w:cs="Arial"/>
          <w:b/>
        </w:rPr>
        <w:t>3.2.-</w:t>
      </w:r>
      <w:r>
        <w:rPr>
          <w:rFonts w:ascii="Arial" w:hAnsi="Arial" w:cs="Arial"/>
        </w:rPr>
        <w:t xml:space="preserve"> En cuanto a</w:t>
      </w:r>
      <w:r w:rsidR="00170F5B" w:rsidRPr="00D316A5">
        <w:rPr>
          <w:rFonts w:ascii="Arial" w:hAnsi="Arial" w:cs="Arial"/>
        </w:rPr>
        <w:t xml:space="preserve"> si es necesario</w:t>
      </w:r>
      <w:r w:rsidR="00170F5B" w:rsidRPr="00D316A5">
        <w:rPr>
          <w:rFonts w:ascii="Arial" w:eastAsia="Times New Roman" w:hAnsi="Arial" w:cs="Arial"/>
          <w:bCs/>
          <w:lang w:val="es-MX" w:eastAsia="es-CO"/>
        </w:rPr>
        <w:t xml:space="preserve"> modificar la Resolución 2</w:t>
      </w:r>
      <w:r w:rsidR="000F4BAF" w:rsidRPr="00D316A5">
        <w:rPr>
          <w:rFonts w:ascii="Arial" w:eastAsia="Times New Roman" w:hAnsi="Arial" w:cs="Arial"/>
          <w:bCs/>
          <w:lang w:val="es-MX" w:eastAsia="es-CO"/>
        </w:rPr>
        <w:t>688</w:t>
      </w:r>
      <w:r w:rsidR="00170F5B" w:rsidRPr="00D316A5">
        <w:rPr>
          <w:rFonts w:ascii="Arial" w:eastAsia="Times New Roman" w:hAnsi="Arial" w:cs="Arial"/>
          <w:bCs/>
          <w:lang w:val="es-MX" w:eastAsia="es-CO"/>
        </w:rPr>
        <w:t xml:space="preserve"> de 2017</w:t>
      </w:r>
      <w:r w:rsidR="00D61CEF">
        <w:rPr>
          <w:rFonts w:ascii="Arial" w:eastAsia="Times New Roman" w:hAnsi="Arial" w:cs="Arial"/>
          <w:bCs/>
          <w:lang w:val="es-MX" w:eastAsia="es-CO"/>
        </w:rPr>
        <w:t>,</w:t>
      </w:r>
      <w:r w:rsidR="00170F5B" w:rsidRPr="00D316A5">
        <w:rPr>
          <w:rFonts w:ascii="Arial" w:eastAsia="Times New Roman" w:hAnsi="Arial" w:cs="Arial"/>
          <w:bCs/>
          <w:lang w:val="es-MX" w:eastAsia="es-CO"/>
        </w:rPr>
        <w:t xml:space="preserve"> </w:t>
      </w:r>
      <w:r w:rsidR="00D61CEF">
        <w:rPr>
          <w:rFonts w:ascii="Arial" w:hAnsi="Arial" w:cs="Arial"/>
        </w:rPr>
        <w:t xml:space="preserve">la </w:t>
      </w:r>
      <w:r w:rsidR="00364FAB" w:rsidRPr="00D316A5">
        <w:rPr>
          <w:rFonts w:ascii="Arial" w:hAnsi="Arial" w:cs="Arial"/>
        </w:rPr>
        <w:t>Oficina Asesora Jurídica</w:t>
      </w:r>
      <w:r w:rsidR="00492328" w:rsidRPr="00D316A5">
        <w:rPr>
          <w:rFonts w:ascii="Arial" w:hAnsi="Arial" w:cs="Arial"/>
        </w:rPr>
        <w:t xml:space="preserve"> </w:t>
      </w:r>
      <w:r w:rsidR="00364FAB" w:rsidRPr="00D316A5">
        <w:rPr>
          <w:rFonts w:ascii="Arial" w:hAnsi="Arial" w:cs="Arial"/>
        </w:rPr>
        <w:t xml:space="preserve">considera </w:t>
      </w:r>
      <w:r w:rsidR="00BE3B13" w:rsidRPr="00D316A5">
        <w:rPr>
          <w:rFonts w:ascii="Arial" w:hAnsi="Arial" w:cs="Arial"/>
        </w:rPr>
        <w:t xml:space="preserve">que no </w:t>
      </w:r>
      <w:r w:rsidR="001702CC">
        <w:rPr>
          <w:rFonts w:ascii="Arial" w:hAnsi="Arial" w:cs="Arial"/>
        </w:rPr>
        <w:t xml:space="preserve">se requiere </w:t>
      </w:r>
      <w:r w:rsidR="00BE3B13" w:rsidRPr="00D316A5">
        <w:rPr>
          <w:rFonts w:ascii="Arial" w:hAnsi="Arial" w:cs="Arial"/>
        </w:rPr>
        <w:t xml:space="preserve">crear una nueva función a la Coordinación de Autoridades Administrativas que se relacione con </w:t>
      </w:r>
      <w:r w:rsidR="00DB5110">
        <w:rPr>
          <w:rFonts w:ascii="Arial" w:hAnsi="Arial" w:cs="Arial"/>
        </w:rPr>
        <w:t xml:space="preserve">el trámite </w:t>
      </w:r>
      <w:r w:rsidR="00BE3B13" w:rsidRPr="00D316A5">
        <w:rPr>
          <w:rFonts w:ascii="Arial" w:hAnsi="Arial" w:cs="Arial"/>
        </w:rPr>
        <w:t>de las solicitudes de aval</w:t>
      </w:r>
      <w:r w:rsidR="00257E90">
        <w:rPr>
          <w:rFonts w:ascii="Arial" w:hAnsi="Arial" w:cs="Arial"/>
        </w:rPr>
        <w:t xml:space="preserve">. Lo </w:t>
      </w:r>
      <w:proofErr w:type="gramStart"/>
      <w:r w:rsidR="00257E90">
        <w:rPr>
          <w:rFonts w:ascii="Arial" w:hAnsi="Arial" w:cs="Arial"/>
        </w:rPr>
        <w:t xml:space="preserve">anterior, </w:t>
      </w:r>
      <w:r w:rsidR="00BE3B13" w:rsidRPr="00D316A5">
        <w:rPr>
          <w:rFonts w:ascii="Arial" w:hAnsi="Arial" w:cs="Arial"/>
        </w:rPr>
        <w:t xml:space="preserve"> teniendo</w:t>
      </w:r>
      <w:proofErr w:type="gramEnd"/>
      <w:r w:rsidR="00BE3B13" w:rsidRPr="00D316A5">
        <w:rPr>
          <w:rFonts w:ascii="Arial" w:hAnsi="Arial" w:cs="Arial"/>
        </w:rPr>
        <w:t xml:space="preserve"> en cuenta</w:t>
      </w:r>
      <w:r w:rsidR="00BE5160" w:rsidRPr="00D316A5">
        <w:rPr>
          <w:rFonts w:ascii="Arial" w:hAnsi="Arial" w:cs="Arial"/>
        </w:rPr>
        <w:t xml:space="preserve"> que</w:t>
      </w:r>
      <w:r w:rsidR="00BE3B13" w:rsidRPr="00D316A5">
        <w:rPr>
          <w:rFonts w:ascii="Arial" w:hAnsi="Arial" w:cs="Arial"/>
        </w:rPr>
        <w:t xml:space="preserve"> el numeral 16</w:t>
      </w:r>
      <w:r w:rsidR="003202CD" w:rsidRPr="00D316A5">
        <w:rPr>
          <w:rFonts w:ascii="Arial" w:hAnsi="Arial" w:cs="Arial"/>
        </w:rPr>
        <w:t xml:space="preserve"> del artículo 41 de la Resolución 060 de 2013 (modificada por la Resolución 2688 de 2017) </w:t>
      </w:r>
      <w:r w:rsidR="00BE3B13" w:rsidRPr="00D316A5">
        <w:rPr>
          <w:rFonts w:ascii="Arial" w:hAnsi="Arial" w:cs="Arial"/>
        </w:rPr>
        <w:t xml:space="preserve">deja en manos del Director de Protección o de la Dirección General la asignación de nuevas funciones que se relacionen con la naturaleza del grupo. </w:t>
      </w:r>
    </w:p>
    <w:p w14:paraId="0E4909B5" w14:textId="23062904" w:rsidR="00550FE6" w:rsidRPr="00D316A5" w:rsidRDefault="00550FE6" w:rsidP="00BE2383">
      <w:pPr>
        <w:spacing w:after="0" w:line="240" w:lineRule="auto"/>
        <w:jc w:val="both"/>
        <w:rPr>
          <w:rFonts w:ascii="Arial" w:hAnsi="Arial" w:cs="Arial"/>
        </w:rPr>
      </w:pPr>
    </w:p>
    <w:p w14:paraId="3E604423" w14:textId="4A99C2CD" w:rsidR="00550FE6" w:rsidRPr="00D316A5" w:rsidRDefault="004E39F5" w:rsidP="00BE2383">
      <w:pPr>
        <w:spacing w:after="0" w:line="240" w:lineRule="auto"/>
        <w:jc w:val="both"/>
        <w:rPr>
          <w:rFonts w:ascii="Arial" w:hAnsi="Arial" w:cs="Arial"/>
        </w:rPr>
      </w:pPr>
      <w:r w:rsidRPr="00D316A5">
        <w:rPr>
          <w:rFonts w:ascii="Arial" w:hAnsi="Arial" w:cs="Arial"/>
        </w:rPr>
        <w:t>Sobre el particular, el Departamento Administrativo de la Función Pública en Concepto 141201 de 2020 señaló:</w:t>
      </w:r>
    </w:p>
    <w:p w14:paraId="07D31FA6" w14:textId="4971C95E" w:rsidR="004E39F5" w:rsidRPr="00D316A5" w:rsidRDefault="004E39F5" w:rsidP="00BE2383">
      <w:pPr>
        <w:spacing w:after="0" w:line="240" w:lineRule="auto"/>
        <w:jc w:val="both"/>
        <w:rPr>
          <w:rFonts w:ascii="Arial" w:hAnsi="Arial" w:cs="Arial"/>
        </w:rPr>
      </w:pPr>
    </w:p>
    <w:p w14:paraId="2D46FF7B" w14:textId="76F20444" w:rsidR="004E39F5" w:rsidRPr="00D316A5" w:rsidRDefault="004E39F5" w:rsidP="00BE2383">
      <w:pPr>
        <w:spacing w:after="0" w:line="240" w:lineRule="auto"/>
        <w:ind w:left="360"/>
        <w:jc w:val="both"/>
        <w:rPr>
          <w:rFonts w:ascii="Arial" w:hAnsi="Arial" w:cs="Arial"/>
          <w:i/>
        </w:rPr>
      </w:pPr>
      <w:r w:rsidRPr="00D316A5">
        <w:rPr>
          <w:rFonts w:ascii="Arial" w:hAnsi="Arial" w:cs="Arial"/>
          <w:i/>
        </w:rPr>
        <w:t>“Así las cosas, la asignación de funciones es una figura de administración de personal en el sector público a la que puede acudir la administración cuando surjan funciones adicionales que por su naturaleza puedan ser desempeñadas por empleados vinculados a los cargos de la planta de personal de la entidad sin que se transforme el empleo de quien las recibe, o cuando la entidad necesite que se cumpla con algunas de las funciones de un cargo, pero siempre que las mismas tengan relación con las del cargo al que se le asignan.”</w:t>
      </w:r>
    </w:p>
    <w:p w14:paraId="3D9A9133" w14:textId="6DC12BF7" w:rsidR="004E39F5" w:rsidRPr="00D316A5" w:rsidRDefault="004E39F5" w:rsidP="00BE2383">
      <w:pPr>
        <w:spacing w:after="0" w:line="240" w:lineRule="auto"/>
        <w:ind w:left="360"/>
        <w:jc w:val="both"/>
        <w:rPr>
          <w:rFonts w:ascii="Arial" w:hAnsi="Arial" w:cs="Arial"/>
          <w:i/>
        </w:rPr>
      </w:pPr>
    </w:p>
    <w:p w14:paraId="7378A294" w14:textId="6FBF5B97" w:rsidR="00257E90" w:rsidRDefault="002A13E9" w:rsidP="00BE2383">
      <w:pPr>
        <w:spacing w:after="0" w:line="240" w:lineRule="auto"/>
        <w:jc w:val="both"/>
        <w:rPr>
          <w:rFonts w:ascii="Arial" w:hAnsi="Arial" w:cs="Arial"/>
        </w:rPr>
      </w:pPr>
      <w:r>
        <w:rPr>
          <w:rFonts w:ascii="Arial" w:hAnsi="Arial" w:cs="Arial"/>
        </w:rPr>
        <w:t>Siguiendo lo manifestado por el Departamento Administrativo de la Función Pública</w:t>
      </w:r>
      <w:r w:rsidR="00BF21D4">
        <w:rPr>
          <w:rFonts w:ascii="Arial" w:hAnsi="Arial" w:cs="Arial"/>
        </w:rPr>
        <w:t xml:space="preserve"> es factible proceder asignar nuevas funciones siempre que tengan relación con la naturaleza del cargo, </w:t>
      </w:r>
      <w:r w:rsidR="004B7215">
        <w:rPr>
          <w:rFonts w:ascii="Arial" w:hAnsi="Arial" w:cs="Arial"/>
        </w:rPr>
        <w:t xml:space="preserve">frente a lo cual podemos identificar dos restricciones: (i) las nuevas funciones asignadas deben guardar relación con la naturaleza del cargo del servidor a quien se le asignan. Y (ii) </w:t>
      </w:r>
      <w:r w:rsidR="00BF21D4">
        <w:rPr>
          <w:rFonts w:ascii="Arial" w:hAnsi="Arial" w:cs="Arial"/>
        </w:rPr>
        <w:t xml:space="preserve">dicha asignación </w:t>
      </w:r>
      <w:r w:rsidR="004B7215">
        <w:rPr>
          <w:rFonts w:ascii="Arial" w:hAnsi="Arial" w:cs="Arial"/>
        </w:rPr>
        <w:t>debe circunscribirse a un marco funcional concreto</w:t>
      </w:r>
      <w:r w:rsidR="004B7215">
        <w:rPr>
          <w:rStyle w:val="Refdenotaalpie"/>
          <w:rFonts w:ascii="Arial" w:hAnsi="Arial" w:cs="Arial"/>
        </w:rPr>
        <w:footnoteReference w:id="10"/>
      </w:r>
      <w:r w:rsidR="00C40982">
        <w:rPr>
          <w:rFonts w:ascii="Arial" w:hAnsi="Arial" w:cs="Arial"/>
        </w:rPr>
        <w:t>, es decir no se podría atribuir</w:t>
      </w:r>
      <w:r w:rsidR="004B7215">
        <w:rPr>
          <w:rFonts w:ascii="Arial" w:hAnsi="Arial" w:cs="Arial"/>
        </w:rPr>
        <w:t xml:space="preserve"> todas las funciones de un cargo a otro servidor, ya que de facto esto corresponder</w:t>
      </w:r>
      <w:r w:rsidR="00C40982">
        <w:rPr>
          <w:rFonts w:ascii="Arial" w:hAnsi="Arial" w:cs="Arial"/>
        </w:rPr>
        <w:t>ía a la asi</w:t>
      </w:r>
      <w:r w:rsidR="004B7215">
        <w:rPr>
          <w:rFonts w:ascii="Arial" w:hAnsi="Arial" w:cs="Arial"/>
        </w:rPr>
        <w:t>gnación de un cargo y no de funciones.</w:t>
      </w:r>
    </w:p>
    <w:p w14:paraId="4ADF9450" w14:textId="77777777" w:rsidR="00BF21D4" w:rsidRDefault="00BF21D4" w:rsidP="00BE2383">
      <w:pPr>
        <w:spacing w:after="0" w:line="240" w:lineRule="auto"/>
        <w:jc w:val="both"/>
        <w:rPr>
          <w:rFonts w:ascii="Arial" w:hAnsi="Arial" w:cs="Arial"/>
        </w:rPr>
      </w:pPr>
    </w:p>
    <w:p w14:paraId="79C79D2D" w14:textId="6BA13562" w:rsidR="00062FA7" w:rsidRDefault="00C40982" w:rsidP="00BE2383">
      <w:pPr>
        <w:spacing w:after="0" w:line="240" w:lineRule="auto"/>
        <w:jc w:val="both"/>
        <w:rPr>
          <w:rFonts w:ascii="Arial" w:hAnsi="Arial" w:cs="Arial"/>
        </w:rPr>
      </w:pPr>
      <w:r>
        <w:rPr>
          <w:rFonts w:ascii="Arial" w:hAnsi="Arial" w:cs="Arial"/>
        </w:rPr>
        <w:t>En el caso que nos ocupa</w:t>
      </w:r>
      <w:r w:rsidR="004E39F5" w:rsidRPr="00D316A5">
        <w:rPr>
          <w:rFonts w:ascii="Arial" w:hAnsi="Arial" w:cs="Arial"/>
        </w:rPr>
        <w:t>, la eventual tr</w:t>
      </w:r>
      <w:r w:rsidR="000E6F1E" w:rsidRPr="00D316A5">
        <w:rPr>
          <w:rFonts w:ascii="Arial" w:hAnsi="Arial" w:cs="Arial"/>
        </w:rPr>
        <w:t xml:space="preserve">amitación o sustanciación de las solicitudes de prorroga adicional en los términos de PARD </w:t>
      </w:r>
      <w:r w:rsidR="00840F3D" w:rsidRPr="00D316A5">
        <w:rPr>
          <w:rFonts w:ascii="Arial" w:hAnsi="Arial" w:cs="Arial"/>
        </w:rPr>
        <w:t>puede</w:t>
      </w:r>
      <w:r w:rsidR="000E6F1E" w:rsidRPr="00D316A5">
        <w:rPr>
          <w:rFonts w:ascii="Arial" w:hAnsi="Arial" w:cs="Arial"/>
        </w:rPr>
        <w:t xml:space="preserve"> adelantarse desde la Coordinación de Autoridades Administrativas, en virtud del numeral 16 del artículo 41 ibídem, </w:t>
      </w:r>
      <w:r w:rsidR="001D2C10">
        <w:rPr>
          <w:rFonts w:ascii="Arial" w:hAnsi="Arial" w:cs="Arial"/>
        </w:rPr>
        <w:t xml:space="preserve">en tanto sea asignada por el </w:t>
      </w:r>
      <w:proofErr w:type="gramStart"/>
      <w:r w:rsidR="001D2C10">
        <w:rPr>
          <w:rFonts w:ascii="Arial" w:hAnsi="Arial" w:cs="Arial"/>
        </w:rPr>
        <w:t>Director</w:t>
      </w:r>
      <w:proofErr w:type="gramEnd"/>
      <w:r w:rsidR="001D2C10">
        <w:rPr>
          <w:rFonts w:ascii="Arial" w:hAnsi="Arial" w:cs="Arial"/>
        </w:rPr>
        <w:t xml:space="preserve"> de Protección, </w:t>
      </w:r>
      <w:r w:rsidR="000E6F1E" w:rsidRPr="00D316A5">
        <w:rPr>
          <w:rFonts w:ascii="Arial" w:hAnsi="Arial" w:cs="Arial"/>
        </w:rPr>
        <w:t xml:space="preserve">ya que dicha actividad guarda relación con la naturaleza del grupo. </w:t>
      </w:r>
    </w:p>
    <w:p w14:paraId="7EFA1FD5" w14:textId="77777777" w:rsidR="00062FA7" w:rsidRDefault="00062FA7" w:rsidP="00BE2383">
      <w:pPr>
        <w:spacing w:after="0" w:line="240" w:lineRule="auto"/>
        <w:jc w:val="both"/>
        <w:rPr>
          <w:rFonts w:ascii="Arial" w:hAnsi="Arial" w:cs="Arial"/>
        </w:rPr>
      </w:pPr>
    </w:p>
    <w:p w14:paraId="26C085CA" w14:textId="1EB759BB" w:rsidR="004E39F5" w:rsidRPr="00D316A5" w:rsidRDefault="00062FA7" w:rsidP="00BE2383">
      <w:pPr>
        <w:spacing w:after="0" w:line="240" w:lineRule="auto"/>
        <w:jc w:val="both"/>
        <w:rPr>
          <w:rFonts w:ascii="Arial" w:hAnsi="Arial" w:cs="Arial"/>
        </w:rPr>
      </w:pPr>
      <w:r>
        <w:rPr>
          <w:rFonts w:ascii="Arial" w:hAnsi="Arial" w:cs="Arial"/>
        </w:rPr>
        <w:t xml:space="preserve">En todo caso, </w:t>
      </w:r>
      <w:r w:rsidR="000E6F1E" w:rsidRPr="00D316A5">
        <w:rPr>
          <w:rFonts w:ascii="Arial" w:hAnsi="Arial" w:cs="Arial"/>
        </w:rPr>
        <w:t xml:space="preserve">es necesario aclarar que la decisión sobre si se otorga o no dicha prórroga corresponde al </w:t>
      </w:r>
      <w:proofErr w:type="gramStart"/>
      <w:r w:rsidR="000E6F1E" w:rsidRPr="00D316A5">
        <w:rPr>
          <w:rFonts w:ascii="Arial" w:hAnsi="Arial" w:cs="Arial"/>
        </w:rPr>
        <w:t>Director</w:t>
      </w:r>
      <w:proofErr w:type="gramEnd"/>
      <w:r w:rsidR="000E6F1E" w:rsidRPr="00D316A5">
        <w:rPr>
          <w:rFonts w:ascii="Arial" w:hAnsi="Arial" w:cs="Arial"/>
        </w:rPr>
        <w:t xml:space="preserve"> de Protección de acuerdo con lo </w:t>
      </w:r>
      <w:r>
        <w:rPr>
          <w:rFonts w:ascii="Arial" w:hAnsi="Arial" w:cs="Arial"/>
        </w:rPr>
        <w:t>dispuesto</w:t>
      </w:r>
      <w:r w:rsidRPr="00D316A5">
        <w:rPr>
          <w:rFonts w:ascii="Arial" w:hAnsi="Arial" w:cs="Arial"/>
        </w:rPr>
        <w:t xml:space="preserve"> </w:t>
      </w:r>
      <w:r w:rsidR="000E6F1E" w:rsidRPr="00D316A5">
        <w:rPr>
          <w:rFonts w:ascii="Arial" w:hAnsi="Arial" w:cs="Arial"/>
        </w:rPr>
        <w:t>en el artículo 10 de la Resolución</w:t>
      </w:r>
      <w:r>
        <w:rPr>
          <w:rFonts w:ascii="Arial" w:hAnsi="Arial" w:cs="Arial"/>
        </w:rPr>
        <w:t xml:space="preserve"> No.</w:t>
      </w:r>
      <w:r w:rsidR="000E6F1E" w:rsidRPr="00D316A5">
        <w:rPr>
          <w:rFonts w:ascii="Arial" w:hAnsi="Arial" w:cs="Arial"/>
        </w:rPr>
        <w:t xml:space="preserve"> 11199 de 2019</w:t>
      </w:r>
      <w:r w:rsidR="00CF46D8" w:rsidRPr="00D316A5">
        <w:rPr>
          <w:rFonts w:ascii="Arial" w:hAnsi="Arial" w:cs="Arial"/>
        </w:rPr>
        <w:t>.</w:t>
      </w:r>
    </w:p>
    <w:p w14:paraId="7F8B8E0F" w14:textId="77777777" w:rsidR="00211218" w:rsidRPr="00D316A5" w:rsidRDefault="00211218" w:rsidP="00BE2383">
      <w:pPr>
        <w:spacing w:after="0" w:line="240" w:lineRule="auto"/>
        <w:jc w:val="both"/>
        <w:rPr>
          <w:rFonts w:ascii="Arial" w:hAnsi="Arial" w:cs="Arial"/>
          <w:noProof/>
          <w:lang w:eastAsia="es-CO"/>
        </w:rPr>
      </w:pPr>
    </w:p>
    <w:p w14:paraId="5A04AAC1" w14:textId="2D967176" w:rsidR="00364FAB" w:rsidRPr="00D316A5" w:rsidRDefault="00FC6871" w:rsidP="00BE2383">
      <w:pPr>
        <w:spacing w:after="0" w:line="240" w:lineRule="auto"/>
        <w:jc w:val="both"/>
        <w:rPr>
          <w:rFonts w:ascii="Arial" w:hAnsi="Arial" w:cs="Arial"/>
          <w:noProof/>
          <w:lang w:eastAsia="es-CO"/>
        </w:rPr>
      </w:pPr>
      <w:r w:rsidRPr="00D316A5">
        <w:rPr>
          <w:rFonts w:ascii="Arial" w:hAnsi="Arial" w:cs="Arial"/>
          <w:noProof/>
          <w:lang w:eastAsia="es-CO"/>
        </w:rPr>
        <w:t>Cordial</w:t>
      </w:r>
      <w:r w:rsidR="00364FAB" w:rsidRPr="00D316A5">
        <w:rPr>
          <w:rFonts w:ascii="Arial" w:hAnsi="Arial" w:cs="Arial"/>
          <w:noProof/>
          <w:lang w:eastAsia="es-CO"/>
        </w:rPr>
        <w:t>mente,</w:t>
      </w:r>
    </w:p>
    <w:p w14:paraId="2235068E" w14:textId="250DAEEC" w:rsidR="00364FAB" w:rsidRPr="00D316A5" w:rsidRDefault="00364FAB" w:rsidP="00BE2383">
      <w:pPr>
        <w:spacing w:after="0" w:line="240" w:lineRule="auto"/>
        <w:jc w:val="center"/>
        <w:rPr>
          <w:rFonts w:ascii="Arial" w:hAnsi="Arial" w:cs="Arial"/>
          <w:b/>
          <w:noProof/>
          <w:lang w:eastAsia="es-CO"/>
        </w:rPr>
      </w:pPr>
    </w:p>
    <w:p w14:paraId="18FC6A34" w14:textId="0BB1F746" w:rsidR="00364FAB" w:rsidRPr="00D316A5" w:rsidRDefault="00364FAB" w:rsidP="00BE2383">
      <w:pPr>
        <w:spacing w:after="0" w:line="240" w:lineRule="auto"/>
        <w:jc w:val="center"/>
        <w:rPr>
          <w:rFonts w:ascii="Arial" w:hAnsi="Arial" w:cs="Arial"/>
          <w:b/>
          <w:noProof/>
          <w:lang w:eastAsia="es-CO"/>
        </w:rPr>
      </w:pPr>
    </w:p>
    <w:p w14:paraId="391C3914" w14:textId="0AC68C9C" w:rsidR="00D06332" w:rsidRPr="00D316A5" w:rsidRDefault="00D06332" w:rsidP="00BE2383">
      <w:pPr>
        <w:spacing w:after="0" w:line="240" w:lineRule="auto"/>
        <w:rPr>
          <w:rFonts w:ascii="Arial" w:hAnsi="Arial" w:cs="Arial"/>
          <w:b/>
          <w:noProof/>
          <w:lang w:eastAsia="es-CO"/>
        </w:rPr>
      </w:pPr>
    </w:p>
    <w:p w14:paraId="674930ED" w14:textId="77777777" w:rsidR="00364FAB" w:rsidRPr="00D316A5" w:rsidRDefault="00364FAB" w:rsidP="00BE2383">
      <w:pPr>
        <w:spacing w:after="0" w:line="240" w:lineRule="auto"/>
        <w:jc w:val="center"/>
        <w:rPr>
          <w:rFonts w:ascii="Arial" w:hAnsi="Arial" w:cs="Arial"/>
          <w:b/>
          <w:noProof/>
          <w:lang w:eastAsia="es-CO"/>
        </w:rPr>
      </w:pPr>
    </w:p>
    <w:p w14:paraId="7DE6EEE7" w14:textId="77777777" w:rsidR="00364FAB" w:rsidRPr="00D316A5" w:rsidRDefault="00364FAB" w:rsidP="00BE2383">
      <w:pPr>
        <w:spacing w:after="0" w:line="240" w:lineRule="auto"/>
        <w:jc w:val="center"/>
        <w:rPr>
          <w:rFonts w:ascii="Arial" w:hAnsi="Arial" w:cs="Arial"/>
          <w:b/>
          <w:noProof/>
          <w:lang w:eastAsia="es-CO"/>
        </w:rPr>
      </w:pPr>
      <w:r w:rsidRPr="00D316A5">
        <w:rPr>
          <w:rFonts w:ascii="Arial" w:hAnsi="Arial" w:cs="Arial"/>
          <w:b/>
          <w:noProof/>
          <w:lang w:eastAsia="es-CO"/>
        </w:rPr>
        <w:t>EDGAR LEONARDO BOJACÁ CASTRO</w:t>
      </w:r>
    </w:p>
    <w:p w14:paraId="1F6808F5" w14:textId="77777777" w:rsidR="00364FAB" w:rsidRPr="00D316A5" w:rsidRDefault="00364FAB" w:rsidP="00BE2383">
      <w:pPr>
        <w:spacing w:after="0" w:line="240" w:lineRule="auto"/>
        <w:jc w:val="center"/>
        <w:rPr>
          <w:rFonts w:ascii="Arial" w:hAnsi="Arial" w:cs="Arial"/>
          <w:noProof/>
          <w:lang w:eastAsia="es-CO"/>
        </w:rPr>
      </w:pPr>
      <w:r w:rsidRPr="00D316A5">
        <w:rPr>
          <w:rFonts w:ascii="Arial" w:hAnsi="Arial" w:cs="Arial"/>
          <w:noProof/>
          <w:lang w:eastAsia="es-CO"/>
        </w:rPr>
        <w:lastRenderedPageBreak/>
        <w:t>Jefe de la Oficina Asesora Jurídica</w:t>
      </w:r>
    </w:p>
    <w:p w14:paraId="34035290" w14:textId="77777777" w:rsidR="007964A2" w:rsidRPr="00D316A5" w:rsidRDefault="007964A2" w:rsidP="00BE2383">
      <w:pPr>
        <w:spacing w:after="0" w:line="240" w:lineRule="auto"/>
        <w:jc w:val="both"/>
        <w:rPr>
          <w:rFonts w:ascii="Arial" w:hAnsi="Arial" w:cs="Arial"/>
          <w:sz w:val="16"/>
          <w:szCs w:val="16"/>
        </w:rPr>
      </w:pPr>
    </w:p>
    <w:p w14:paraId="708F1865" w14:textId="57D8F36D" w:rsidR="007964A2" w:rsidRPr="00913AC0" w:rsidRDefault="007964A2" w:rsidP="00BE2383">
      <w:pPr>
        <w:spacing w:after="0" w:line="240" w:lineRule="auto"/>
        <w:jc w:val="both"/>
        <w:rPr>
          <w:rFonts w:ascii="Arial" w:hAnsi="Arial" w:cs="Arial"/>
          <w:sz w:val="16"/>
          <w:szCs w:val="16"/>
        </w:rPr>
      </w:pPr>
    </w:p>
    <w:sectPr w:rsidR="007964A2" w:rsidRPr="00913AC0">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4E71" w14:textId="77777777" w:rsidR="00D243C2" w:rsidRDefault="00D243C2" w:rsidP="00DD51DD">
      <w:pPr>
        <w:spacing w:after="0" w:line="240" w:lineRule="auto"/>
      </w:pPr>
      <w:r>
        <w:separator/>
      </w:r>
    </w:p>
  </w:endnote>
  <w:endnote w:type="continuationSeparator" w:id="0">
    <w:p w14:paraId="20862C13" w14:textId="77777777" w:rsidR="00D243C2" w:rsidRDefault="00D243C2"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 3 of 9">
    <w:altName w:val="Calibri"/>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D43" w14:textId="4737512A" w:rsidR="004B7215" w:rsidRDefault="004B7215">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4B7215" w:rsidRDefault="004B7215">
    <w:pPr>
      <w:pStyle w:val="Piedepgina"/>
    </w:pPr>
  </w:p>
  <w:p w14:paraId="7CDDA185" w14:textId="61A7097E" w:rsidR="004B7215" w:rsidRDefault="004B7215">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4B7215" w:rsidRDefault="004B7215"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4B7215" w:rsidRDefault="004B7215"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4B7215" w:rsidRDefault="004B7215">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67EC493A" w:rsidR="004B7215" w:rsidRPr="00BC0789" w:rsidRDefault="00D83B0E"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4B7215" w:rsidRPr="00BC0789" w:rsidRDefault="004B7215"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4B7215" w:rsidRPr="00BC0789" w:rsidRDefault="004B7215"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4B7215" w:rsidRPr="006C7934" w:rsidRDefault="004B7215"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74719"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67EC493A" w:rsidR="004B7215" w:rsidRPr="00BC0789" w:rsidRDefault="00D83B0E"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4B7215" w:rsidRPr="00BC0789" w:rsidRDefault="004B7215"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4B7215" w:rsidRPr="00BC0789" w:rsidRDefault="004B7215"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4B7215" w:rsidRPr="006C7934" w:rsidRDefault="004B7215"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4B7215" w:rsidRPr="005731FA" w:rsidRDefault="004B7215"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4B7215" w:rsidRPr="005731FA" w:rsidRDefault="004B7215"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4B7215" w:rsidRPr="005731FA" w:rsidRDefault="004B7215"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4B7215" w:rsidRPr="005731FA" w:rsidRDefault="004B7215"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4978" w14:textId="77777777" w:rsidR="00D243C2" w:rsidRDefault="00D243C2" w:rsidP="00DD51DD">
      <w:pPr>
        <w:spacing w:after="0" w:line="240" w:lineRule="auto"/>
      </w:pPr>
      <w:r>
        <w:separator/>
      </w:r>
    </w:p>
  </w:footnote>
  <w:footnote w:type="continuationSeparator" w:id="0">
    <w:p w14:paraId="2080EBF3" w14:textId="77777777" w:rsidR="00D243C2" w:rsidRDefault="00D243C2" w:rsidP="00DD51DD">
      <w:pPr>
        <w:spacing w:after="0" w:line="240" w:lineRule="auto"/>
      </w:pPr>
      <w:r>
        <w:continuationSeparator/>
      </w:r>
    </w:p>
  </w:footnote>
  <w:footnote w:id="1">
    <w:p w14:paraId="2216DDF5" w14:textId="31E43F24" w:rsidR="004B7215" w:rsidRPr="002A3BDC" w:rsidRDefault="004B7215">
      <w:pPr>
        <w:pStyle w:val="Textonotapie"/>
        <w:rPr>
          <w:lang w:val="es-MX"/>
        </w:rPr>
      </w:pPr>
      <w:r>
        <w:rPr>
          <w:rStyle w:val="Refdenotaalpie"/>
        </w:rPr>
        <w:footnoteRef/>
      </w:r>
      <w:r>
        <w:t xml:space="preserve"> </w:t>
      </w:r>
      <w:r>
        <w:rPr>
          <w:lang w:val="es-MX"/>
        </w:rPr>
        <w:t>Por la cual se reglamenta el mecanismo para dar aval de ampliación del término de seguimiento de los Procesos administrativos de restablecimiento de Derechos (PARD).</w:t>
      </w:r>
    </w:p>
  </w:footnote>
  <w:footnote w:id="2">
    <w:p w14:paraId="24A67723" w14:textId="64926E70" w:rsidR="004B7215" w:rsidRPr="002A3BDC" w:rsidRDefault="004B7215">
      <w:pPr>
        <w:pStyle w:val="Textonotapie"/>
        <w:rPr>
          <w:lang w:val="es-MX"/>
        </w:rPr>
      </w:pPr>
      <w:r>
        <w:rPr>
          <w:rStyle w:val="Refdenotaalpie"/>
        </w:rPr>
        <w:footnoteRef/>
      </w:r>
      <w:r>
        <w:t xml:space="preserve"> </w:t>
      </w:r>
      <w:r>
        <w:rPr>
          <w:lang w:val="es-MX"/>
        </w:rPr>
        <w:t xml:space="preserve">Por la cual se </w:t>
      </w:r>
    </w:p>
  </w:footnote>
  <w:footnote w:id="3">
    <w:p w14:paraId="0178D2F7" w14:textId="5B883F47" w:rsidR="004B7215" w:rsidRPr="00913AC0" w:rsidRDefault="004B7215">
      <w:pPr>
        <w:pStyle w:val="Textonotapie"/>
        <w:rPr>
          <w:rFonts w:ascii="Arial" w:hAnsi="Arial" w:cs="Arial"/>
          <w:sz w:val="18"/>
          <w:szCs w:val="18"/>
          <w:lang w:val="es-CO"/>
        </w:rPr>
      </w:pPr>
      <w:r w:rsidRPr="00913AC0">
        <w:rPr>
          <w:rStyle w:val="Refdenotaalpie"/>
          <w:rFonts w:ascii="Arial" w:hAnsi="Arial" w:cs="Arial"/>
          <w:sz w:val="18"/>
          <w:szCs w:val="18"/>
        </w:rPr>
        <w:footnoteRef/>
      </w:r>
      <w:r w:rsidRPr="00913AC0">
        <w:rPr>
          <w:rFonts w:ascii="Arial" w:hAnsi="Arial" w:cs="Arial"/>
          <w:sz w:val="18"/>
          <w:szCs w:val="18"/>
        </w:rPr>
        <w:t xml:space="preserve"> “Por el cual se modifica la estructura del Instituto Colombiano de Bienestar Familiar “Cecilia de la Fuente de Lleras” y se determinan las funciones de sus dependencias.”</w:t>
      </w:r>
    </w:p>
  </w:footnote>
  <w:footnote w:id="4">
    <w:p w14:paraId="5F5E6351" w14:textId="78488367" w:rsidR="004B7215" w:rsidRPr="00913AC0" w:rsidRDefault="004B7215">
      <w:pPr>
        <w:pStyle w:val="Textonotapie"/>
        <w:rPr>
          <w:rFonts w:ascii="Arial" w:hAnsi="Arial" w:cs="Arial"/>
          <w:sz w:val="18"/>
          <w:szCs w:val="18"/>
          <w:lang w:val="es-CO"/>
        </w:rPr>
      </w:pPr>
      <w:r w:rsidRPr="00913AC0">
        <w:rPr>
          <w:rStyle w:val="Refdenotaalpie"/>
          <w:rFonts w:ascii="Arial" w:hAnsi="Arial" w:cs="Arial"/>
          <w:sz w:val="18"/>
          <w:szCs w:val="18"/>
        </w:rPr>
        <w:footnoteRef/>
      </w:r>
      <w:r w:rsidRPr="00913AC0">
        <w:rPr>
          <w:rFonts w:ascii="Arial" w:hAnsi="Arial" w:cs="Arial"/>
          <w:sz w:val="18"/>
          <w:szCs w:val="18"/>
        </w:rPr>
        <w:t xml:space="preserve"> “Por la cual se modifica la Resolución No. 060 de 2013”</w:t>
      </w:r>
    </w:p>
  </w:footnote>
  <w:footnote w:id="5">
    <w:p w14:paraId="47F245A9" w14:textId="77777777" w:rsidR="004B7215" w:rsidRPr="00913AC0" w:rsidRDefault="004B7215" w:rsidP="00ED136E">
      <w:pPr>
        <w:pStyle w:val="NormalWeb"/>
        <w:jc w:val="both"/>
        <w:rPr>
          <w:rFonts w:ascii="Arial" w:hAnsi="Arial" w:cs="Arial"/>
          <w:sz w:val="18"/>
          <w:szCs w:val="18"/>
        </w:rPr>
      </w:pPr>
      <w:r w:rsidRPr="00913AC0">
        <w:rPr>
          <w:rStyle w:val="Refdenotaalpie"/>
          <w:rFonts w:ascii="Arial" w:hAnsi="Arial" w:cs="Arial"/>
          <w:sz w:val="18"/>
          <w:szCs w:val="18"/>
        </w:rPr>
        <w:footnoteRef/>
      </w:r>
      <w:r w:rsidRPr="00913AC0">
        <w:rPr>
          <w:rFonts w:ascii="Arial" w:hAnsi="Arial" w:cs="Arial"/>
          <w:sz w:val="18"/>
          <w:szCs w:val="18"/>
        </w:rPr>
        <w:t xml:space="preserve"> </w:t>
      </w:r>
      <w:bookmarkStart w:id="0" w:name="208"/>
      <w:r w:rsidRPr="00913AC0">
        <w:rPr>
          <w:rFonts w:ascii="Arial" w:hAnsi="Arial" w:cs="Arial"/>
          <w:b/>
          <w:bCs/>
          <w:sz w:val="18"/>
          <w:szCs w:val="18"/>
        </w:rPr>
        <w:t>ARTÍCULO 208. MEDIDAS DE RESTABLECIMIENTO DE DERECHOS Y DE DECLARATORIA DE VULNERACIÓN.</w:t>
      </w:r>
      <w:bookmarkEnd w:id="0"/>
      <w:r w:rsidRPr="00913AC0">
        <w:rPr>
          <w:rFonts w:ascii="Arial" w:hAnsi="Arial" w:cs="Arial"/>
          <w:sz w:val="18"/>
          <w:szCs w:val="18"/>
        </w:rPr>
        <w:t> Modifíquese el inciso sexto del artículo </w:t>
      </w:r>
      <w:hyperlink r:id="rId1" w:anchor="103" w:history="1">
        <w:r w:rsidRPr="00913AC0">
          <w:rPr>
            <w:rStyle w:val="Hipervnculo"/>
            <w:rFonts w:ascii="Arial" w:hAnsi="Arial" w:cs="Arial"/>
            <w:color w:val="auto"/>
            <w:sz w:val="18"/>
            <w:szCs w:val="18"/>
          </w:rPr>
          <w:t>103</w:t>
        </w:r>
      </w:hyperlink>
      <w:r w:rsidRPr="00913AC0">
        <w:rPr>
          <w:rFonts w:ascii="Arial" w:hAnsi="Arial" w:cs="Arial"/>
          <w:sz w:val="18"/>
          <w:szCs w:val="18"/>
        </w:rPr>
        <w:t> de la Ley 1098 de 2006, modificado por el artículo </w:t>
      </w:r>
      <w:hyperlink r:id="rId2" w:anchor="6" w:history="1">
        <w:r w:rsidRPr="00913AC0">
          <w:rPr>
            <w:rStyle w:val="Hipervnculo"/>
            <w:rFonts w:ascii="Arial" w:hAnsi="Arial" w:cs="Arial"/>
            <w:color w:val="auto"/>
            <w:sz w:val="18"/>
            <w:szCs w:val="18"/>
          </w:rPr>
          <w:t>6o</w:t>
        </w:r>
      </w:hyperlink>
      <w:r w:rsidRPr="00913AC0">
        <w:rPr>
          <w:rFonts w:ascii="Arial" w:hAnsi="Arial" w:cs="Arial"/>
          <w:sz w:val="18"/>
          <w:szCs w:val="18"/>
        </w:rPr>
        <w:t> de la Ley 1878 de 2018, y adiciónense los siguientes incisos, así: (…) Con el fin de garantizar una atención con enfoque diferencial, en los casos en que se advierta que un proceso no puede ser definido de fondo en el término máximo establecido, por las situaciones fácticas y probatorias que reposan en el expediente, el ICBF reglamentará un mecanismo para analizar el proceso y darle el aval a la autoridad administrativa para la ampliación del término. (…).</w:t>
      </w:r>
    </w:p>
    <w:p w14:paraId="34673D8F" w14:textId="77777777" w:rsidR="004B7215" w:rsidRPr="00913AC0" w:rsidRDefault="004B7215" w:rsidP="00ED136E">
      <w:pPr>
        <w:pStyle w:val="Textonotapie"/>
        <w:rPr>
          <w:rFonts w:ascii="Arial" w:hAnsi="Arial" w:cs="Arial"/>
          <w:sz w:val="18"/>
          <w:szCs w:val="18"/>
          <w:lang w:val="es-CO"/>
        </w:rPr>
      </w:pPr>
    </w:p>
  </w:footnote>
  <w:footnote w:id="6">
    <w:p w14:paraId="468AA671" w14:textId="0560BA19" w:rsidR="004B7215" w:rsidRPr="00913AC0" w:rsidRDefault="004B7215" w:rsidP="00491FB9">
      <w:pPr>
        <w:pStyle w:val="NormalWeb"/>
        <w:spacing w:before="0" w:beforeAutospacing="0" w:after="0" w:afterAutospacing="0"/>
        <w:jc w:val="both"/>
        <w:rPr>
          <w:rFonts w:ascii="Arial" w:hAnsi="Arial" w:cs="Arial"/>
          <w:sz w:val="18"/>
          <w:szCs w:val="18"/>
        </w:rPr>
      </w:pPr>
      <w:r w:rsidRPr="00913AC0">
        <w:rPr>
          <w:rStyle w:val="Refdenotaalpie"/>
          <w:rFonts w:ascii="Arial" w:hAnsi="Arial" w:cs="Arial"/>
          <w:sz w:val="18"/>
          <w:szCs w:val="18"/>
        </w:rPr>
        <w:footnoteRef/>
      </w:r>
      <w:r w:rsidRPr="00913AC0">
        <w:rPr>
          <w:rFonts w:ascii="Arial" w:hAnsi="Arial" w:cs="Arial"/>
          <w:sz w:val="18"/>
          <w:szCs w:val="18"/>
        </w:rPr>
        <w:t xml:space="preserve"> Respecto a la referencia a la Ley 734 de 2002 que se efectuó en la solicitud de concepto de la Dirección de Protección, se considera necesario citar en lo pertinente dicha norma: </w:t>
      </w:r>
    </w:p>
    <w:p w14:paraId="2F8F24BA" w14:textId="50201D2F" w:rsidR="004B7215" w:rsidRPr="00913AC0" w:rsidRDefault="004B7215" w:rsidP="00491FB9">
      <w:pPr>
        <w:pStyle w:val="NormalWeb"/>
        <w:spacing w:before="0" w:beforeAutospacing="0" w:after="0" w:afterAutospacing="0"/>
        <w:jc w:val="both"/>
        <w:rPr>
          <w:rFonts w:ascii="Arial" w:hAnsi="Arial" w:cs="Arial"/>
          <w:i/>
          <w:sz w:val="18"/>
          <w:szCs w:val="18"/>
        </w:rPr>
      </w:pPr>
      <w:r w:rsidRPr="00913AC0">
        <w:rPr>
          <w:rFonts w:ascii="Arial" w:hAnsi="Arial" w:cs="Arial"/>
          <w:b/>
          <w:bCs/>
          <w:i/>
          <w:sz w:val="18"/>
          <w:szCs w:val="18"/>
        </w:rPr>
        <w:t xml:space="preserve">Artículo 2º. </w:t>
      </w:r>
      <w:r w:rsidRPr="00913AC0">
        <w:rPr>
          <w:rFonts w:ascii="Arial" w:hAnsi="Arial" w:cs="Arial"/>
          <w:b/>
          <w:i/>
          <w:iCs/>
          <w:sz w:val="18"/>
          <w:szCs w:val="18"/>
        </w:rPr>
        <w:t>Titularidad de la acción disciplinaria</w:t>
      </w:r>
      <w:r w:rsidRPr="00913AC0">
        <w:rPr>
          <w:rFonts w:ascii="Arial" w:hAnsi="Arial" w:cs="Arial"/>
          <w:i/>
          <w:sz w:val="18"/>
          <w:szCs w:val="18"/>
        </w:rPr>
        <w:t xml:space="preserve">. Sin perjuicio del poder disciplinario preferente de la Procuraduría General de la Nación y de las Personerías Distritales y Municipales, corresponde a las oficinas de control disciplinario interno </w:t>
      </w:r>
      <w:r w:rsidRPr="00913AC0">
        <w:rPr>
          <w:rFonts w:ascii="Arial" w:hAnsi="Arial" w:cs="Arial"/>
          <w:i/>
          <w:sz w:val="18"/>
          <w:szCs w:val="18"/>
          <w:u w:val="single"/>
        </w:rPr>
        <w:t>y a los funcionarios con potestad disciplinaria de las ramas, órganos y entidades del Estado</w:t>
      </w:r>
      <w:r w:rsidRPr="00913AC0">
        <w:rPr>
          <w:rFonts w:ascii="Arial" w:hAnsi="Arial" w:cs="Arial"/>
          <w:i/>
          <w:sz w:val="18"/>
          <w:szCs w:val="18"/>
        </w:rPr>
        <w:t>, conocer de los asuntos disciplinarios contra los servidores públicos de sus dependencias. (…) El titular de la acción disciplinaria en los eventos de los funcionarios judiciales, es la jurisdicción disciplinaria. (…) La acción disciplinaria es independiente de cualquiera otra que pueda surgir de la comisión de la falta. (…)</w:t>
      </w:r>
    </w:p>
    <w:p w14:paraId="44B7D601" w14:textId="4F0645B4" w:rsidR="004B7215" w:rsidRPr="00913AC0" w:rsidRDefault="004B7215" w:rsidP="00491FB9">
      <w:pPr>
        <w:spacing w:after="0" w:line="240" w:lineRule="auto"/>
        <w:jc w:val="both"/>
        <w:rPr>
          <w:rFonts w:ascii="Arial" w:hAnsi="Arial" w:cs="Arial"/>
          <w:sz w:val="18"/>
          <w:szCs w:val="18"/>
        </w:rPr>
      </w:pPr>
      <w:r w:rsidRPr="00913AC0">
        <w:rPr>
          <w:rStyle w:val="Textoennegrita"/>
          <w:rFonts w:ascii="Arial" w:hAnsi="Arial" w:cs="Arial"/>
          <w:i/>
          <w:sz w:val="18"/>
          <w:szCs w:val="18"/>
        </w:rPr>
        <w:t xml:space="preserve">Artículo 84. </w:t>
      </w:r>
      <w:r w:rsidRPr="00913AC0">
        <w:rPr>
          <w:rStyle w:val="nfasis"/>
          <w:rFonts w:ascii="Arial" w:hAnsi="Arial" w:cs="Arial"/>
          <w:b/>
          <w:i w:val="0"/>
          <w:sz w:val="18"/>
          <w:szCs w:val="18"/>
        </w:rPr>
        <w:t>Causales de impedimento y recusación</w:t>
      </w:r>
      <w:r w:rsidRPr="00913AC0">
        <w:rPr>
          <w:rFonts w:ascii="Arial" w:hAnsi="Arial" w:cs="Arial"/>
          <w:i/>
          <w:sz w:val="18"/>
          <w:szCs w:val="18"/>
        </w:rPr>
        <w:t xml:space="preserve">. </w:t>
      </w:r>
      <w:r w:rsidRPr="00913AC0">
        <w:rPr>
          <w:rFonts w:ascii="Arial" w:hAnsi="Arial" w:cs="Arial"/>
          <w:i/>
          <w:sz w:val="18"/>
          <w:szCs w:val="18"/>
          <w:u w:val="single"/>
        </w:rPr>
        <w:t>Son causales de impedimento</w:t>
      </w:r>
      <w:r w:rsidRPr="00913AC0">
        <w:rPr>
          <w:rFonts w:ascii="Arial" w:hAnsi="Arial" w:cs="Arial"/>
          <w:i/>
          <w:sz w:val="18"/>
          <w:szCs w:val="18"/>
        </w:rPr>
        <w:t xml:space="preserve"> y recusación, </w:t>
      </w:r>
      <w:r w:rsidRPr="00913AC0">
        <w:rPr>
          <w:rFonts w:ascii="Arial" w:hAnsi="Arial" w:cs="Arial"/>
          <w:i/>
          <w:sz w:val="18"/>
          <w:szCs w:val="18"/>
          <w:u w:val="single"/>
        </w:rPr>
        <w:t>para los servidores públicos que ejerzan la acción disciplinaria</w:t>
      </w:r>
      <w:r w:rsidRPr="00913AC0">
        <w:rPr>
          <w:rFonts w:ascii="Arial" w:hAnsi="Arial" w:cs="Arial"/>
          <w:i/>
          <w:sz w:val="18"/>
          <w:szCs w:val="18"/>
        </w:rPr>
        <w:t xml:space="preserve">, las siguientes: (…) 4. Haber sido apoderado o defensor de alguno de los sujetos procesales o contraparte de cualquiera de ellos, o haber dado consejo o manifestado su opinión sobre el asunto materia de la actuación. (…)” </w:t>
      </w:r>
      <w:r w:rsidRPr="00913AC0">
        <w:rPr>
          <w:rFonts w:ascii="Arial" w:hAnsi="Arial" w:cs="Arial"/>
          <w:sz w:val="18"/>
          <w:szCs w:val="18"/>
        </w:rPr>
        <w:t>(Subrayado fuera de texto) </w:t>
      </w:r>
    </w:p>
    <w:p w14:paraId="36812747" w14:textId="77777777" w:rsidR="004B7215" w:rsidRPr="00913AC0" w:rsidRDefault="004B7215" w:rsidP="00491FB9">
      <w:pPr>
        <w:spacing w:after="0" w:line="240" w:lineRule="auto"/>
        <w:jc w:val="both"/>
        <w:rPr>
          <w:rFonts w:ascii="Arial" w:hAnsi="Arial" w:cs="Arial"/>
          <w:sz w:val="18"/>
          <w:szCs w:val="18"/>
        </w:rPr>
      </w:pPr>
      <w:r w:rsidRPr="00913AC0">
        <w:rPr>
          <w:rFonts w:ascii="Arial" w:hAnsi="Arial" w:cs="Arial"/>
          <w:sz w:val="18"/>
          <w:szCs w:val="18"/>
        </w:rPr>
        <w:t xml:space="preserve">Consecuentemente, el impedimento aquí determinado y cualificado se predica de los titulares de la Acción Disciplinaria (art. 2° Ley 734 de 2002): </w:t>
      </w:r>
      <w:r w:rsidRPr="00913AC0">
        <w:rPr>
          <w:rFonts w:ascii="Arial" w:hAnsi="Arial" w:cs="Arial"/>
          <w:i/>
          <w:sz w:val="18"/>
          <w:szCs w:val="18"/>
        </w:rPr>
        <w:t xml:space="preserve">los servidores públicos que ejerzan la acción disciplinaria </w:t>
      </w:r>
      <w:r w:rsidRPr="00913AC0">
        <w:rPr>
          <w:rFonts w:ascii="Arial" w:hAnsi="Arial" w:cs="Arial"/>
          <w:sz w:val="18"/>
          <w:szCs w:val="18"/>
        </w:rPr>
        <w:t>y</w:t>
      </w:r>
      <w:r w:rsidRPr="00913AC0">
        <w:rPr>
          <w:rFonts w:ascii="Arial" w:hAnsi="Arial" w:cs="Arial"/>
          <w:i/>
          <w:sz w:val="18"/>
          <w:szCs w:val="18"/>
        </w:rPr>
        <w:t xml:space="preserve"> </w:t>
      </w:r>
      <w:r w:rsidRPr="00913AC0">
        <w:rPr>
          <w:rFonts w:ascii="Arial" w:hAnsi="Arial" w:cs="Arial"/>
          <w:sz w:val="18"/>
          <w:szCs w:val="18"/>
        </w:rPr>
        <w:t>que en esa condición hayan dado consejo o manifestado su opinión.</w:t>
      </w:r>
    </w:p>
    <w:p w14:paraId="68DD0916" w14:textId="149BFDD1" w:rsidR="004B7215" w:rsidRPr="00913AC0" w:rsidRDefault="004B7215">
      <w:pPr>
        <w:pStyle w:val="Textonotapie"/>
        <w:rPr>
          <w:rFonts w:ascii="Arial" w:hAnsi="Arial" w:cs="Arial"/>
          <w:sz w:val="18"/>
          <w:szCs w:val="18"/>
          <w:lang w:val="es-CO"/>
        </w:rPr>
      </w:pPr>
    </w:p>
  </w:footnote>
  <w:footnote w:id="7">
    <w:p w14:paraId="2FB0C7A9" w14:textId="1E0BBE56" w:rsidR="004B7215" w:rsidRPr="00913AC0" w:rsidRDefault="004B7215">
      <w:pPr>
        <w:pStyle w:val="Textonotapie"/>
        <w:rPr>
          <w:rFonts w:ascii="Arial" w:hAnsi="Arial" w:cs="Arial"/>
          <w:sz w:val="18"/>
          <w:szCs w:val="18"/>
          <w:lang w:val="es-CO"/>
        </w:rPr>
      </w:pPr>
      <w:r w:rsidRPr="00913AC0">
        <w:rPr>
          <w:rStyle w:val="Refdenotaalpie"/>
          <w:rFonts w:ascii="Arial" w:hAnsi="Arial" w:cs="Arial"/>
          <w:sz w:val="18"/>
          <w:szCs w:val="18"/>
        </w:rPr>
        <w:footnoteRef/>
      </w:r>
      <w:r w:rsidRPr="00913AC0">
        <w:rPr>
          <w:rFonts w:ascii="Arial" w:hAnsi="Arial" w:cs="Arial"/>
          <w:sz w:val="18"/>
          <w:szCs w:val="18"/>
        </w:rPr>
        <w:t xml:space="preserve"> </w:t>
      </w:r>
      <w:r w:rsidRPr="00913AC0">
        <w:rPr>
          <w:rFonts w:ascii="Arial" w:hAnsi="Arial" w:cs="Arial"/>
          <w:sz w:val="18"/>
          <w:szCs w:val="18"/>
          <w:lang w:val="es-CO"/>
        </w:rPr>
        <w:t>Ver Corte Constitucional, sentencia C-496 de 2016.</w:t>
      </w:r>
    </w:p>
  </w:footnote>
  <w:footnote w:id="8">
    <w:p w14:paraId="784785DB" w14:textId="06E1B2CA" w:rsidR="004B7215" w:rsidRPr="00913AC0" w:rsidRDefault="004B7215" w:rsidP="00181D8D">
      <w:pPr>
        <w:pStyle w:val="Textonotapie"/>
        <w:jc w:val="both"/>
        <w:rPr>
          <w:rFonts w:ascii="Arial" w:hAnsi="Arial" w:cs="Arial"/>
          <w:sz w:val="18"/>
          <w:szCs w:val="18"/>
        </w:rPr>
      </w:pPr>
      <w:r w:rsidRPr="00913AC0">
        <w:rPr>
          <w:rStyle w:val="Refdenotaalpie"/>
          <w:rFonts w:ascii="Arial" w:hAnsi="Arial" w:cs="Arial"/>
          <w:sz w:val="18"/>
          <w:szCs w:val="18"/>
        </w:rPr>
        <w:footnoteRef/>
      </w:r>
      <w:r w:rsidRPr="00913AC0">
        <w:rPr>
          <w:rFonts w:ascii="Arial" w:hAnsi="Arial" w:cs="Arial"/>
          <w:sz w:val="18"/>
          <w:szCs w:val="18"/>
        </w:rPr>
        <w:t xml:space="preserve"> Consejo de Estado, Sala de lo Contencioso Administrativo, Sección Primera, Sentencia del 17 de marzo de 2011, expediente 25000-23-15-000-2010-001710-01 </w:t>
      </w:r>
    </w:p>
  </w:footnote>
  <w:footnote w:id="9">
    <w:p w14:paraId="3644B62D" w14:textId="22681363" w:rsidR="004B7215" w:rsidRPr="00257E90" w:rsidRDefault="004B7215" w:rsidP="0078031B">
      <w:pPr>
        <w:pStyle w:val="Textonotapie"/>
        <w:jc w:val="both"/>
        <w:rPr>
          <w:rFonts w:ascii="Arial" w:hAnsi="Arial" w:cs="Arial"/>
          <w:sz w:val="18"/>
          <w:szCs w:val="18"/>
          <w:lang w:val="es-CO"/>
        </w:rPr>
      </w:pPr>
      <w:r w:rsidRPr="00257E90">
        <w:rPr>
          <w:rStyle w:val="Refdenotaalpie"/>
          <w:rFonts w:ascii="Arial" w:hAnsi="Arial" w:cs="Arial"/>
          <w:sz w:val="18"/>
          <w:szCs w:val="18"/>
        </w:rPr>
        <w:footnoteRef/>
      </w:r>
      <w:r w:rsidRPr="00257E90">
        <w:rPr>
          <w:rFonts w:ascii="Arial" w:hAnsi="Arial" w:cs="Arial"/>
          <w:sz w:val="18"/>
          <w:szCs w:val="18"/>
        </w:rPr>
        <w:t xml:space="preserve"> </w:t>
      </w:r>
      <w:r w:rsidRPr="00257E90">
        <w:rPr>
          <w:rFonts w:ascii="Arial" w:hAnsi="Arial" w:cs="Arial"/>
          <w:bCs/>
          <w:sz w:val="18"/>
          <w:szCs w:val="18"/>
          <w:lang w:val="es-CO"/>
        </w:rPr>
        <w:t xml:space="preserve">CONSEJO DE ESTADO, SALA DE LO CONTENCIOSO ADMINISTRATIVO, SECCIÓN TERCERA, SUBSECCIÓN A, CONSEJERA PONENTE: MARÍA ADRIANA MARÍN, </w:t>
      </w:r>
      <w:r w:rsidRPr="00257E90">
        <w:rPr>
          <w:rFonts w:ascii="Arial" w:hAnsi="Arial" w:cs="Arial"/>
          <w:sz w:val="18"/>
          <w:szCs w:val="18"/>
          <w:lang w:val="es-CO"/>
        </w:rPr>
        <w:t xml:space="preserve">(15) de julio de dos mil veinte (2020), </w:t>
      </w:r>
      <w:r w:rsidRPr="00257E90">
        <w:rPr>
          <w:rFonts w:ascii="Arial" w:hAnsi="Arial" w:cs="Arial"/>
          <w:bCs/>
          <w:sz w:val="18"/>
          <w:szCs w:val="18"/>
          <w:lang w:val="es-CO"/>
        </w:rPr>
        <w:t>Radicación:  11001-03-15-000-2019-05036-00</w:t>
      </w:r>
    </w:p>
    <w:p w14:paraId="60019C75" w14:textId="708050B6" w:rsidR="004B7215" w:rsidRPr="00913AC0" w:rsidRDefault="004B7215" w:rsidP="0078031B">
      <w:pPr>
        <w:pStyle w:val="Textonotapie"/>
        <w:rPr>
          <w:rFonts w:ascii="Arial" w:hAnsi="Arial" w:cs="Arial"/>
          <w:sz w:val="18"/>
          <w:szCs w:val="18"/>
          <w:lang w:val="es-CO"/>
        </w:rPr>
      </w:pPr>
    </w:p>
  </w:footnote>
  <w:footnote w:id="10">
    <w:p w14:paraId="33256073" w14:textId="103E5C07" w:rsidR="004B7215" w:rsidRPr="002A3BDC" w:rsidRDefault="004B7215">
      <w:pPr>
        <w:pStyle w:val="Textonotapie"/>
        <w:rPr>
          <w:lang w:val="es-CO"/>
        </w:rPr>
      </w:pPr>
      <w:r>
        <w:rPr>
          <w:rStyle w:val="Refdenotaalpie"/>
        </w:rPr>
        <w:footnoteRef/>
      </w:r>
      <w:r>
        <w:t xml:space="preserve"> </w:t>
      </w:r>
      <w:r>
        <w:rPr>
          <w:lang w:val="es-CO"/>
        </w:rPr>
        <w:t xml:space="preserve">Así lo estableció el Departamento Administrativo de la Función Pública en el Concepto </w:t>
      </w:r>
      <w:r w:rsidRPr="004B7215">
        <w:rPr>
          <w:lang w:val="es-CO"/>
        </w:rPr>
        <w:t>96691 de 2016</w:t>
      </w:r>
      <w:r>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4CFA" w14:textId="6695AF9C" w:rsidR="004B7215" w:rsidRDefault="004B7215">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16933" w14:textId="77777777" w:rsidR="00D83B0E" w:rsidRPr="00BB1379" w:rsidRDefault="00D83B0E" w:rsidP="00D83B0E">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44AD7882" w14:textId="77777777" w:rsidR="00D83B0E" w:rsidRPr="00BB1379" w:rsidRDefault="00D83B0E" w:rsidP="00D83B0E">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DF4E8CB" w14:textId="77777777" w:rsidR="00D83B0E" w:rsidRDefault="00D83B0E" w:rsidP="00D83B0E">
                          <w:pPr>
                            <w:contextualSpacing/>
                            <w:rPr>
                              <w:rFonts w:ascii="Arial" w:hAnsi="Arial" w:cs="Arial"/>
                              <w:b/>
                              <w:color w:val="000000"/>
                            </w:rPr>
                          </w:pPr>
                          <w:r>
                            <w:rPr>
                              <w:rFonts w:ascii="Arial" w:hAnsi="Arial" w:cs="Arial"/>
                              <w:b/>
                              <w:color w:val="000000"/>
                            </w:rPr>
                            <w:t>Dirección General</w:t>
                          </w:r>
                        </w:p>
                        <w:p w14:paraId="47939E38" w14:textId="77777777" w:rsidR="00D83B0E" w:rsidRPr="00BB1379" w:rsidRDefault="00D83B0E" w:rsidP="00D83B0E">
                          <w:pPr>
                            <w:contextualSpacing/>
                            <w:rPr>
                              <w:rFonts w:ascii="Arial" w:hAnsi="Arial" w:cs="Arial"/>
                              <w:b/>
                              <w:color w:val="000000"/>
                            </w:rPr>
                          </w:pPr>
                          <w:r>
                            <w:rPr>
                              <w:rFonts w:ascii="Arial" w:hAnsi="Arial" w:cs="Arial"/>
                              <w:b/>
                              <w:color w:val="000000"/>
                            </w:rPr>
                            <w:t>Oficina Asesora Jurídica</w:t>
                          </w:r>
                          <w:r w:rsidRPr="00BB1379">
                            <w:rPr>
                              <w:rFonts w:ascii="Arial" w:hAnsi="Arial" w:cs="Arial"/>
                              <w:b/>
                              <w:color w:val="000000"/>
                            </w:rPr>
                            <w:t xml:space="preserve"> </w:t>
                          </w:r>
                        </w:p>
                        <w:p w14:paraId="0529A875" w14:textId="77777777" w:rsidR="00D83B0E" w:rsidRPr="00BB1379" w:rsidRDefault="00D83B0E" w:rsidP="00D83B0E">
                          <w:pPr>
                            <w:contextualSpacing/>
                            <w:rPr>
                              <w:rFonts w:ascii="Arial" w:hAnsi="Arial" w:cs="Arial"/>
                              <w:b/>
                              <w:color w:val="000000"/>
                            </w:rPr>
                          </w:pPr>
                          <w:r w:rsidRPr="00BB1379">
                            <w:rPr>
                              <w:rFonts w:ascii="Arial" w:hAnsi="Arial" w:cs="Arial"/>
                              <w:b/>
                              <w:color w:val="000000"/>
                            </w:rPr>
                            <w:t>[</w:t>
                          </w:r>
                          <w:r>
                            <w:rPr>
                              <w:rFonts w:ascii="Arial" w:hAnsi="Arial" w:cs="Arial"/>
                              <w:b/>
                              <w:color w:val="000000"/>
                            </w:rPr>
                            <w:t>Pública</w:t>
                          </w:r>
                          <w:r w:rsidRPr="00BB1379">
                            <w:rPr>
                              <w:rFonts w:ascii="Arial" w:hAnsi="Arial" w:cs="Arial"/>
                              <w:b/>
                              <w:color w:val="000000"/>
                            </w:rPr>
                            <w:t>]</w:t>
                          </w:r>
                        </w:p>
                        <w:p w14:paraId="71763885" w14:textId="6D26EDE5" w:rsidR="004B7215" w:rsidRPr="00BB1379" w:rsidRDefault="004B7215" w:rsidP="00200D9C">
                          <w:pPr>
                            <w:contextualSpacing/>
                            <w:rPr>
                              <w:rFonts w:ascii="Arial" w:hAnsi="Arial" w:cs="Arial"/>
                              <w:b/>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09816933" w14:textId="77777777" w:rsidR="00D83B0E" w:rsidRPr="00BB1379" w:rsidRDefault="00D83B0E" w:rsidP="00D83B0E">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44AD7882" w14:textId="77777777" w:rsidR="00D83B0E" w:rsidRPr="00BB1379" w:rsidRDefault="00D83B0E" w:rsidP="00D83B0E">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DF4E8CB" w14:textId="77777777" w:rsidR="00D83B0E" w:rsidRDefault="00D83B0E" w:rsidP="00D83B0E">
                    <w:pPr>
                      <w:contextualSpacing/>
                      <w:rPr>
                        <w:rFonts w:ascii="Arial" w:hAnsi="Arial" w:cs="Arial"/>
                        <w:b/>
                        <w:color w:val="000000"/>
                      </w:rPr>
                    </w:pPr>
                    <w:r>
                      <w:rPr>
                        <w:rFonts w:ascii="Arial" w:hAnsi="Arial" w:cs="Arial"/>
                        <w:b/>
                        <w:color w:val="000000"/>
                      </w:rPr>
                      <w:t>Dirección General</w:t>
                    </w:r>
                  </w:p>
                  <w:p w14:paraId="47939E38" w14:textId="77777777" w:rsidR="00D83B0E" w:rsidRPr="00BB1379" w:rsidRDefault="00D83B0E" w:rsidP="00D83B0E">
                    <w:pPr>
                      <w:contextualSpacing/>
                      <w:rPr>
                        <w:rFonts w:ascii="Arial" w:hAnsi="Arial" w:cs="Arial"/>
                        <w:b/>
                        <w:color w:val="000000"/>
                      </w:rPr>
                    </w:pPr>
                    <w:r>
                      <w:rPr>
                        <w:rFonts w:ascii="Arial" w:hAnsi="Arial" w:cs="Arial"/>
                        <w:b/>
                        <w:color w:val="000000"/>
                      </w:rPr>
                      <w:t>Oficina Asesora Jurídica</w:t>
                    </w:r>
                    <w:r w:rsidRPr="00BB1379">
                      <w:rPr>
                        <w:rFonts w:ascii="Arial" w:hAnsi="Arial" w:cs="Arial"/>
                        <w:b/>
                        <w:color w:val="000000"/>
                      </w:rPr>
                      <w:t xml:space="preserve"> </w:t>
                    </w:r>
                  </w:p>
                  <w:p w14:paraId="0529A875" w14:textId="77777777" w:rsidR="00D83B0E" w:rsidRPr="00BB1379" w:rsidRDefault="00D83B0E" w:rsidP="00D83B0E">
                    <w:pPr>
                      <w:contextualSpacing/>
                      <w:rPr>
                        <w:rFonts w:ascii="Arial" w:hAnsi="Arial" w:cs="Arial"/>
                        <w:b/>
                        <w:color w:val="000000"/>
                      </w:rPr>
                    </w:pPr>
                    <w:r w:rsidRPr="00BB1379">
                      <w:rPr>
                        <w:rFonts w:ascii="Arial" w:hAnsi="Arial" w:cs="Arial"/>
                        <w:b/>
                        <w:color w:val="000000"/>
                      </w:rPr>
                      <w:t>[</w:t>
                    </w:r>
                    <w:r>
                      <w:rPr>
                        <w:rFonts w:ascii="Arial" w:hAnsi="Arial" w:cs="Arial"/>
                        <w:b/>
                        <w:color w:val="000000"/>
                      </w:rPr>
                      <w:t>Pública</w:t>
                    </w:r>
                    <w:r w:rsidRPr="00BB1379">
                      <w:rPr>
                        <w:rFonts w:ascii="Arial" w:hAnsi="Arial" w:cs="Arial"/>
                        <w:b/>
                        <w:color w:val="000000"/>
                      </w:rPr>
                      <w:t>]</w:t>
                    </w:r>
                  </w:p>
                  <w:p w14:paraId="71763885" w14:textId="6D26EDE5" w:rsidR="004B7215" w:rsidRPr="00BB1379" w:rsidRDefault="004B7215" w:rsidP="00200D9C">
                    <w:pPr>
                      <w:contextualSpacing/>
                      <w:rPr>
                        <w:rFonts w:ascii="Arial" w:hAnsi="Arial" w:cs="Arial"/>
                        <w:b/>
                        <w:color w:val="000000"/>
                      </w:rPr>
                    </w:pPr>
                  </w:p>
                </w:txbxContent>
              </v:textbox>
              <w10:wrap type="square"/>
            </v:shape>
          </w:pict>
        </mc:Fallback>
      </mc:AlternateContent>
    </w:r>
    <w:r>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4B7215" w:rsidRDefault="004B7215">
    <w:pPr>
      <w:pStyle w:val="Encabezado"/>
    </w:pPr>
  </w:p>
  <w:p w14:paraId="063F274E" w14:textId="3EFF6A1D" w:rsidR="004B7215" w:rsidRDefault="004B7215">
    <w:pPr>
      <w:pStyle w:val="Encabezado"/>
    </w:pPr>
  </w:p>
  <w:p w14:paraId="60726CCE" w14:textId="177EE378" w:rsidR="004B7215" w:rsidRDefault="004B7215">
    <w:pPr>
      <w:pStyle w:val="Encabezado"/>
    </w:pPr>
  </w:p>
  <w:p w14:paraId="6796AE61" w14:textId="21718592" w:rsidR="004B7215" w:rsidRDefault="004B7215">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92338"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4B7215" w:rsidRDefault="004B72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3C24"/>
    <w:multiLevelType w:val="hybridMultilevel"/>
    <w:tmpl w:val="58F04322"/>
    <w:lvl w:ilvl="0" w:tplc="0308C9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EC2FC4"/>
    <w:multiLevelType w:val="hybridMultilevel"/>
    <w:tmpl w:val="1F14A9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825775E"/>
    <w:multiLevelType w:val="hybridMultilevel"/>
    <w:tmpl w:val="02B8BB42"/>
    <w:lvl w:ilvl="0" w:tplc="127C8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C30DB"/>
    <w:multiLevelType w:val="hybridMultilevel"/>
    <w:tmpl w:val="E8802F36"/>
    <w:lvl w:ilvl="0" w:tplc="43569FC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8961F90"/>
    <w:multiLevelType w:val="hybridMultilevel"/>
    <w:tmpl w:val="2AD81B60"/>
    <w:lvl w:ilvl="0" w:tplc="33628BD6">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 w15:restartNumberingAfterBreak="0">
    <w:nsid w:val="752B4491"/>
    <w:multiLevelType w:val="hybridMultilevel"/>
    <w:tmpl w:val="E8802F36"/>
    <w:lvl w:ilvl="0" w:tplc="43569FC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DD"/>
    <w:rsid w:val="00000AF1"/>
    <w:rsid w:val="00001246"/>
    <w:rsid w:val="00003C00"/>
    <w:rsid w:val="00003FDF"/>
    <w:rsid w:val="00015A39"/>
    <w:rsid w:val="000277D6"/>
    <w:rsid w:val="00036A28"/>
    <w:rsid w:val="000424AB"/>
    <w:rsid w:val="000566B3"/>
    <w:rsid w:val="00056EA3"/>
    <w:rsid w:val="00062FA7"/>
    <w:rsid w:val="000712F1"/>
    <w:rsid w:val="00072D33"/>
    <w:rsid w:val="0008385B"/>
    <w:rsid w:val="000874BE"/>
    <w:rsid w:val="00091703"/>
    <w:rsid w:val="000C30A0"/>
    <w:rsid w:val="000C48FF"/>
    <w:rsid w:val="000C707F"/>
    <w:rsid w:val="000C709A"/>
    <w:rsid w:val="000D0760"/>
    <w:rsid w:val="000D0CF1"/>
    <w:rsid w:val="000D1078"/>
    <w:rsid w:val="000D25A9"/>
    <w:rsid w:val="000D372A"/>
    <w:rsid w:val="000D6009"/>
    <w:rsid w:val="000E3243"/>
    <w:rsid w:val="000E47FF"/>
    <w:rsid w:val="000E6F1E"/>
    <w:rsid w:val="000F1EE1"/>
    <w:rsid w:val="000F3EE9"/>
    <w:rsid w:val="000F4BAF"/>
    <w:rsid w:val="00101A5C"/>
    <w:rsid w:val="00112408"/>
    <w:rsid w:val="00117023"/>
    <w:rsid w:val="00123178"/>
    <w:rsid w:val="0013192F"/>
    <w:rsid w:val="0013765A"/>
    <w:rsid w:val="00140DD1"/>
    <w:rsid w:val="00142C39"/>
    <w:rsid w:val="00145084"/>
    <w:rsid w:val="00150E95"/>
    <w:rsid w:val="00152CCF"/>
    <w:rsid w:val="00155E15"/>
    <w:rsid w:val="0016028C"/>
    <w:rsid w:val="001702CC"/>
    <w:rsid w:val="00170F5B"/>
    <w:rsid w:val="00171DE9"/>
    <w:rsid w:val="00177BA6"/>
    <w:rsid w:val="00181D8D"/>
    <w:rsid w:val="00185936"/>
    <w:rsid w:val="00191386"/>
    <w:rsid w:val="00191862"/>
    <w:rsid w:val="0019401C"/>
    <w:rsid w:val="00197848"/>
    <w:rsid w:val="001B0EF6"/>
    <w:rsid w:val="001B380C"/>
    <w:rsid w:val="001B48E6"/>
    <w:rsid w:val="001B5C77"/>
    <w:rsid w:val="001C02FB"/>
    <w:rsid w:val="001D16DE"/>
    <w:rsid w:val="001D2C10"/>
    <w:rsid w:val="001D3257"/>
    <w:rsid w:val="001D5344"/>
    <w:rsid w:val="001D7C39"/>
    <w:rsid w:val="001E65D9"/>
    <w:rsid w:val="00200356"/>
    <w:rsid w:val="00200D9C"/>
    <w:rsid w:val="00210709"/>
    <w:rsid w:val="00211218"/>
    <w:rsid w:val="00211D14"/>
    <w:rsid w:val="00243275"/>
    <w:rsid w:val="00257E90"/>
    <w:rsid w:val="00266BAF"/>
    <w:rsid w:val="00280FAD"/>
    <w:rsid w:val="0028293D"/>
    <w:rsid w:val="0028711D"/>
    <w:rsid w:val="0029736E"/>
    <w:rsid w:val="002A13E9"/>
    <w:rsid w:val="002A3BDC"/>
    <w:rsid w:val="002A7A22"/>
    <w:rsid w:val="002B4A60"/>
    <w:rsid w:val="002C05BA"/>
    <w:rsid w:val="002E1C19"/>
    <w:rsid w:val="002E3114"/>
    <w:rsid w:val="002F0B60"/>
    <w:rsid w:val="002F3C0B"/>
    <w:rsid w:val="002F4E36"/>
    <w:rsid w:val="002F5274"/>
    <w:rsid w:val="0030311A"/>
    <w:rsid w:val="0031006F"/>
    <w:rsid w:val="00314EFC"/>
    <w:rsid w:val="00315677"/>
    <w:rsid w:val="003202CD"/>
    <w:rsid w:val="00331030"/>
    <w:rsid w:val="00334FF9"/>
    <w:rsid w:val="0033558A"/>
    <w:rsid w:val="00335833"/>
    <w:rsid w:val="003358FC"/>
    <w:rsid w:val="00337086"/>
    <w:rsid w:val="00364FAB"/>
    <w:rsid w:val="00374FC8"/>
    <w:rsid w:val="003751CA"/>
    <w:rsid w:val="00381CC7"/>
    <w:rsid w:val="0038648B"/>
    <w:rsid w:val="0039609A"/>
    <w:rsid w:val="003A551A"/>
    <w:rsid w:val="003C555F"/>
    <w:rsid w:val="003C7202"/>
    <w:rsid w:val="003E07AE"/>
    <w:rsid w:val="003F7A20"/>
    <w:rsid w:val="00405F3A"/>
    <w:rsid w:val="00405FCC"/>
    <w:rsid w:val="004137CC"/>
    <w:rsid w:val="00416F27"/>
    <w:rsid w:val="0042147E"/>
    <w:rsid w:val="00440BC1"/>
    <w:rsid w:val="00440DC3"/>
    <w:rsid w:val="00455A61"/>
    <w:rsid w:val="00456499"/>
    <w:rsid w:val="0045743F"/>
    <w:rsid w:val="00467515"/>
    <w:rsid w:val="00473DBC"/>
    <w:rsid w:val="00481486"/>
    <w:rsid w:val="00483AEA"/>
    <w:rsid w:val="00491FB9"/>
    <w:rsid w:val="00492328"/>
    <w:rsid w:val="004929B2"/>
    <w:rsid w:val="004A6FA3"/>
    <w:rsid w:val="004B2A90"/>
    <w:rsid w:val="004B52F3"/>
    <w:rsid w:val="004B7215"/>
    <w:rsid w:val="004C38D5"/>
    <w:rsid w:val="004D0997"/>
    <w:rsid w:val="004E13B4"/>
    <w:rsid w:val="004E39F5"/>
    <w:rsid w:val="004E528B"/>
    <w:rsid w:val="004F3BEA"/>
    <w:rsid w:val="004F4218"/>
    <w:rsid w:val="004F54A3"/>
    <w:rsid w:val="004F5DDE"/>
    <w:rsid w:val="005063A7"/>
    <w:rsid w:val="0051477B"/>
    <w:rsid w:val="0053300A"/>
    <w:rsid w:val="00537FEE"/>
    <w:rsid w:val="005425CA"/>
    <w:rsid w:val="00544249"/>
    <w:rsid w:val="00550FE6"/>
    <w:rsid w:val="00557A15"/>
    <w:rsid w:val="00561B6E"/>
    <w:rsid w:val="00567D83"/>
    <w:rsid w:val="0057305E"/>
    <w:rsid w:val="00575FBA"/>
    <w:rsid w:val="00582DBF"/>
    <w:rsid w:val="00592023"/>
    <w:rsid w:val="00595074"/>
    <w:rsid w:val="00597655"/>
    <w:rsid w:val="005A5DDE"/>
    <w:rsid w:val="005A7145"/>
    <w:rsid w:val="005B7148"/>
    <w:rsid w:val="005C0CD1"/>
    <w:rsid w:val="005C76C9"/>
    <w:rsid w:val="005D1616"/>
    <w:rsid w:val="005D729B"/>
    <w:rsid w:val="005E11C2"/>
    <w:rsid w:val="00604DD1"/>
    <w:rsid w:val="006228D2"/>
    <w:rsid w:val="00630FF0"/>
    <w:rsid w:val="006330DE"/>
    <w:rsid w:val="00642E12"/>
    <w:rsid w:val="00651ACD"/>
    <w:rsid w:val="0065597E"/>
    <w:rsid w:val="00667BDD"/>
    <w:rsid w:val="00674558"/>
    <w:rsid w:val="006834D4"/>
    <w:rsid w:val="006874F2"/>
    <w:rsid w:val="006927C8"/>
    <w:rsid w:val="00693FCB"/>
    <w:rsid w:val="00697A61"/>
    <w:rsid w:val="006A3FA7"/>
    <w:rsid w:val="006A707B"/>
    <w:rsid w:val="006D1AA0"/>
    <w:rsid w:val="006D22D3"/>
    <w:rsid w:val="006D5F2D"/>
    <w:rsid w:val="006E1390"/>
    <w:rsid w:val="006E1F07"/>
    <w:rsid w:val="006E2CC2"/>
    <w:rsid w:val="006F54D5"/>
    <w:rsid w:val="00724D7A"/>
    <w:rsid w:val="00724FEE"/>
    <w:rsid w:val="0072551F"/>
    <w:rsid w:val="00725AA3"/>
    <w:rsid w:val="00750429"/>
    <w:rsid w:val="007660A8"/>
    <w:rsid w:val="00766B27"/>
    <w:rsid w:val="0077392C"/>
    <w:rsid w:val="0078031B"/>
    <w:rsid w:val="007812B5"/>
    <w:rsid w:val="00783C06"/>
    <w:rsid w:val="00783E06"/>
    <w:rsid w:val="00785C86"/>
    <w:rsid w:val="007871A5"/>
    <w:rsid w:val="007964A2"/>
    <w:rsid w:val="007974A8"/>
    <w:rsid w:val="007B2D24"/>
    <w:rsid w:val="007C0022"/>
    <w:rsid w:val="007C4A4A"/>
    <w:rsid w:val="007C62CA"/>
    <w:rsid w:val="007D7362"/>
    <w:rsid w:val="00802CDC"/>
    <w:rsid w:val="00803A21"/>
    <w:rsid w:val="008056D7"/>
    <w:rsid w:val="00806A55"/>
    <w:rsid w:val="00811735"/>
    <w:rsid w:val="008135F3"/>
    <w:rsid w:val="0081724C"/>
    <w:rsid w:val="00830A11"/>
    <w:rsid w:val="00840F3D"/>
    <w:rsid w:val="0085585D"/>
    <w:rsid w:val="008656E0"/>
    <w:rsid w:val="00867DC6"/>
    <w:rsid w:val="00885B1B"/>
    <w:rsid w:val="008960C9"/>
    <w:rsid w:val="00896772"/>
    <w:rsid w:val="008B2C30"/>
    <w:rsid w:val="008B7D4E"/>
    <w:rsid w:val="008C5C10"/>
    <w:rsid w:val="008D0526"/>
    <w:rsid w:val="008D4A8B"/>
    <w:rsid w:val="008E5735"/>
    <w:rsid w:val="008E6CBE"/>
    <w:rsid w:val="008F03C0"/>
    <w:rsid w:val="008F0483"/>
    <w:rsid w:val="00901DC3"/>
    <w:rsid w:val="00907143"/>
    <w:rsid w:val="00913AC0"/>
    <w:rsid w:val="00923DCE"/>
    <w:rsid w:val="0092539C"/>
    <w:rsid w:val="00925646"/>
    <w:rsid w:val="00934CB5"/>
    <w:rsid w:val="00936FB2"/>
    <w:rsid w:val="0096317E"/>
    <w:rsid w:val="00967618"/>
    <w:rsid w:val="009763AA"/>
    <w:rsid w:val="00976879"/>
    <w:rsid w:val="00981200"/>
    <w:rsid w:val="00981BA8"/>
    <w:rsid w:val="00983745"/>
    <w:rsid w:val="009922CD"/>
    <w:rsid w:val="00995807"/>
    <w:rsid w:val="009960EB"/>
    <w:rsid w:val="009A3843"/>
    <w:rsid w:val="009B3827"/>
    <w:rsid w:val="009B49AC"/>
    <w:rsid w:val="009D0D33"/>
    <w:rsid w:val="009D1E72"/>
    <w:rsid w:val="009D73D0"/>
    <w:rsid w:val="009F26AF"/>
    <w:rsid w:val="009F409B"/>
    <w:rsid w:val="00A03971"/>
    <w:rsid w:val="00A0419F"/>
    <w:rsid w:val="00A04D12"/>
    <w:rsid w:val="00A126C1"/>
    <w:rsid w:val="00A15C91"/>
    <w:rsid w:val="00A16447"/>
    <w:rsid w:val="00A22415"/>
    <w:rsid w:val="00A230B6"/>
    <w:rsid w:val="00A23933"/>
    <w:rsid w:val="00A23F21"/>
    <w:rsid w:val="00A325B8"/>
    <w:rsid w:val="00A40F82"/>
    <w:rsid w:val="00A45010"/>
    <w:rsid w:val="00A45BE8"/>
    <w:rsid w:val="00A52136"/>
    <w:rsid w:val="00A7235C"/>
    <w:rsid w:val="00A74C9B"/>
    <w:rsid w:val="00A90542"/>
    <w:rsid w:val="00A91DD0"/>
    <w:rsid w:val="00A933DA"/>
    <w:rsid w:val="00AA3F1C"/>
    <w:rsid w:val="00AC4155"/>
    <w:rsid w:val="00AD211A"/>
    <w:rsid w:val="00AE02FA"/>
    <w:rsid w:val="00AE1BFC"/>
    <w:rsid w:val="00B02BDF"/>
    <w:rsid w:val="00B0320E"/>
    <w:rsid w:val="00B13DEE"/>
    <w:rsid w:val="00B20982"/>
    <w:rsid w:val="00B343CA"/>
    <w:rsid w:val="00B41055"/>
    <w:rsid w:val="00B54139"/>
    <w:rsid w:val="00B66F89"/>
    <w:rsid w:val="00B724FC"/>
    <w:rsid w:val="00B77CF3"/>
    <w:rsid w:val="00B85A56"/>
    <w:rsid w:val="00B94200"/>
    <w:rsid w:val="00B97495"/>
    <w:rsid w:val="00BA0849"/>
    <w:rsid w:val="00BB0A5C"/>
    <w:rsid w:val="00BB1379"/>
    <w:rsid w:val="00BB5C9D"/>
    <w:rsid w:val="00BC1BE3"/>
    <w:rsid w:val="00BC22B1"/>
    <w:rsid w:val="00BE0360"/>
    <w:rsid w:val="00BE2311"/>
    <w:rsid w:val="00BE2383"/>
    <w:rsid w:val="00BE3B13"/>
    <w:rsid w:val="00BE5160"/>
    <w:rsid w:val="00BF21D4"/>
    <w:rsid w:val="00BF4E44"/>
    <w:rsid w:val="00C05083"/>
    <w:rsid w:val="00C05918"/>
    <w:rsid w:val="00C11DDD"/>
    <w:rsid w:val="00C16587"/>
    <w:rsid w:val="00C24E0E"/>
    <w:rsid w:val="00C26825"/>
    <w:rsid w:val="00C300E4"/>
    <w:rsid w:val="00C4078B"/>
    <w:rsid w:val="00C40982"/>
    <w:rsid w:val="00C5337C"/>
    <w:rsid w:val="00C57E9A"/>
    <w:rsid w:val="00C60D68"/>
    <w:rsid w:val="00C61876"/>
    <w:rsid w:val="00C62B08"/>
    <w:rsid w:val="00C63AC2"/>
    <w:rsid w:val="00C657EB"/>
    <w:rsid w:val="00C6782E"/>
    <w:rsid w:val="00C7058A"/>
    <w:rsid w:val="00C722D6"/>
    <w:rsid w:val="00C8264B"/>
    <w:rsid w:val="00CA470F"/>
    <w:rsid w:val="00CA6995"/>
    <w:rsid w:val="00CD0909"/>
    <w:rsid w:val="00CD216B"/>
    <w:rsid w:val="00CD2416"/>
    <w:rsid w:val="00CD6448"/>
    <w:rsid w:val="00CF335A"/>
    <w:rsid w:val="00CF46D8"/>
    <w:rsid w:val="00CF7CF0"/>
    <w:rsid w:val="00D06332"/>
    <w:rsid w:val="00D10C62"/>
    <w:rsid w:val="00D17AA5"/>
    <w:rsid w:val="00D209EE"/>
    <w:rsid w:val="00D243C2"/>
    <w:rsid w:val="00D316A5"/>
    <w:rsid w:val="00D31A02"/>
    <w:rsid w:val="00D50171"/>
    <w:rsid w:val="00D50432"/>
    <w:rsid w:val="00D547FC"/>
    <w:rsid w:val="00D60BE0"/>
    <w:rsid w:val="00D61CEF"/>
    <w:rsid w:val="00D65BE6"/>
    <w:rsid w:val="00D75D67"/>
    <w:rsid w:val="00D8029A"/>
    <w:rsid w:val="00D83B0E"/>
    <w:rsid w:val="00DA1B76"/>
    <w:rsid w:val="00DB1EC4"/>
    <w:rsid w:val="00DB2E5E"/>
    <w:rsid w:val="00DB5110"/>
    <w:rsid w:val="00DB7D70"/>
    <w:rsid w:val="00DC27E1"/>
    <w:rsid w:val="00DC4F6C"/>
    <w:rsid w:val="00DC6890"/>
    <w:rsid w:val="00DD4F2B"/>
    <w:rsid w:val="00DD51DD"/>
    <w:rsid w:val="00DE5345"/>
    <w:rsid w:val="00DF3DEB"/>
    <w:rsid w:val="00DF45F7"/>
    <w:rsid w:val="00E1369E"/>
    <w:rsid w:val="00E14DA4"/>
    <w:rsid w:val="00E2186B"/>
    <w:rsid w:val="00E26E84"/>
    <w:rsid w:val="00E3642E"/>
    <w:rsid w:val="00E418D2"/>
    <w:rsid w:val="00E513C4"/>
    <w:rsid w:val="00E564F9"/>
    <w:rsid w:val="00E56908"/>
    <w:rsid w:val="00E71BEA"/>
    <w:rsid w:val="00E71D89"/>
    <w:rsid w:val="00E740C3"/>
    <w:rsid w:val="00E7414A"/>
    <w:rsid w:val="00E7736D"/>
    <w:rsid w:val="00E831CA"/>
    <w:rsid w:val="00E943F9"/>
    <w:rsid w:val="00E95CF8"/>
    <w:rsid w:val="00EB3B9A"/>
    <w:rsid w:val="00EC39B9"/>
    <w:rsid w:val="00ED114B"/>
    <w:rsid w:val="00ED136E"/>
    <w:rsid w:val="00ED4628"/>
    <w:rsid w:val="00EF042C"/>
    <w:rsid w:val="00EF480F"/>
    <w:rsid w:val="00F112B8"/>
    <w:rsid w:val="00F1306C"/>
    <w:rsid w:val="00F17368"/>
    <w:rsid w:val="00F22DD9"/>
    <w:rsid w:val="00F51ED3"/>
    <w:rsid w:val="00F54F25"/>
    <w:rsid w:val="00F56B32"/>
    <w:rsid w:val="00F767D6"/>
    <w:rsid w:val="00F82A9B"/>
    <w:rsid w:val="00F83248"/>
    <w:rsid w:val="00F9397C"/>
    <w:rsid w:val="00F94E23"/>
    <w:rsid w:val="00F9616C"/>
    <w:rsid w:val="00FA0AE8"/>
    <w:rsid w:val="00FA0C16"/>
    <w:rsid w:val="00FA2203"/>
    <w:rsid w:val="00FA2FA4"/>
    <w:rsid w:val="00FB15C2"/>
    <w:rsid w:val="00FB1889"/>
    <w:rsid w:val="00FB21B5"/>
    <w:rsid w:val="00FB61CF"/>
    <w:rsid w:val="00FC6871"/>
    <w:rsid w:val="00FD1C12"/>
    <w:rsid w:val="00FD7E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C71D"/>
  <w15:docId w15:val="{47CCFE66-829E-43E8-AB9E-D806D4EB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Prrafodelista">
    <w:name w:val="List Paragraph"/>
    <w:basedOn w:val="Normal"/>
    <w:uiPriority w:val="72"/>
    <w:qFormat/>
    <w:rsid w:val="0033558A"/>
    <w:pPr>
      <w:ind w:left="720"/>
      <w:contextualSpacing/>
    </w:pPr>
    <w:rPr>
      <w:rFonts w:asciiTheme="minorHAnsi" w:eastAsiaTheme="minorHAnsi" w:hAnsiTheme="minorHAnsi" w:cstheme="minorBidi"/>
      <w:lang w:val="es-CO"/>
    </w:rPr>
  </w:style>
  <w:style w:type="character" w:customStyle="1" w:styleId="baj">
    <w:name w:val="b_aj"/>
    <w:basedOn w:val="Fuentedeprrafopredeter"/>
    <w:rsid w:val="0013765A"/>
  </w:style>
  <w:style w:type="character" w:styleId="Hipervnculo">
    <w:name w:val="Hyperlink"/>
    <w:basedOn w:val="Fuentedeprrafopredeter"/>
    <w:uiPriority w:val="99"/>
    <w:unhideWhenUsed/>
    <w:rsid w:val="0013765A"/>
    <w:rPr>
      <w:color w:val="0000FF"/>
      <w:u w:val="single"/>
    </w:rPr>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iPriority w:val="99"/>
    <w:unhideWhenUsed/>
    <w:qFormat/>
    <w:rsid w:val="00B77CF3"/>
    <w:pPr>
      <w:spacing w:after="0" w:line="240" w:lineRule="auto"/>
    </w:pPr>
    <w:rPr>
      <w:sz w:val="20"/>
      <w:szCs w:val="20"/>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uiPriority w:val="99"/>
    <w:qFormat/>
    <w:rsid w:val="00B77CF3"/>
    <w:rPr>
      <w:rFonts w:ascii="Calibri" w:eastAsia="Calibri" w:hAnsi="Calibri" w:cs="Times New Roman"/>
      <w:sz w:val="20"/>
      <w:szCs w:val="20"/>
      <w:lang w:val="es-ES"/>
    </w:rPr>
  </w:style>
  <w:style w:type="character" w:styleId="nfasis">
    <w:name w:val="Emphasis"/>
    <w:basedOn w:val="Fuentedeprrafopredeter"/>
    <w:uiPriority w:val="20"/>
    <w:qFormat/>
    <w:rsid w:val="00B77CF3"/>
    <w:rPr>
      <w:i/>
      <w:iCs/>
    </w:rPr>
  </w:style>
  <w:style w:type="character" w:styleId="Refdecomentario">
    <w:name w:val="annotation reference"/>
    <w:basedOn w:val="Fuentedeprrafopredeter"/>
    <w:uiPriority w:val="99"/>
    <w:semiHidden/>
    <w:unhideWhenUsed/>
    <w:rsid w:val="0030311A"/>
    <w:rPr>
      <w:sz w:val="16"/>
      <w:szCs w:val="16"/>
    </w:rPr>
  </w:style>
  <w:style w:type="paragraph" w:styleId="Textocomentario">
    <w:name w:val="annotation text"/>
    <w:basedOn w:val="Normal"/>
    <w:link w:val="TextocomentarioCar"/>
    <w:uiPriority w:val="99"/>
    <w:semiHidden/>
    <w:unhideWhenUsed/>
    <w:rsid w:val="003031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311A"/>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0311A"/>
    <w:rPr>
      <w:b/>
      <w:bCs/>
    </w:rPr>
  </w:style>
  <w:style w:type="character" w:customStyle="1" w:styleId="AsuntodelcomentarioCar">
    <w:name w:val="Asunto del comentario Car"/>
    <w:basedOn w:val="TextocomentarioCar"/>
    <w:link w:val="Asuntodelcomentario"/>
    <w:uiPriority w:val="99"/>
    <w:semiHidden/>
    <w:rsid w:val="0030311A"/>
    <w:rPr>
      <w:rFonts w:ascii="Calibri" w:eastAsia="Calibri" w:hAnsi="Calibri" w:cs="Times New Roman"/>
      <w:b/>
      <w:bCs/>
      <w:sz w:val="20"/>
      <w:szCs w:val="20"/>
      <w:lang w:val="es-ES"/>
    </w:rPr>
  </w:style>
  <w:style w:type="character" w:customStyle="1" w:styleId="iaj">
    <w:name w:val="i_aj"/>
    <w:basedOn w:val="Fuentedeprrafopredeter"/>
    <w:rsid w:val="004137CC"/>
  </w:style>
  <w:style w:type="character" w:styleId="Refdenotaalpie">
    <w:name w:val="footnote reference"/>
    <w:basedOn w:val="Fuentedeprrafopredeter"/>
    <w:uiPriority w:val="99"/>
    <w:semiHidden/>
    <w:unhideWhenUsed/>
    <w:rsid w:val="00C5337C"/>
    <w:rPr>
      <w:vertAlign w:val="superscript"/>
    </w:rPr>
  </w:style>
  <w:style w:type="paragraph" w:styleId="Revisin">
    <w:name w:val="Revision"/>
    <w:hidden/>
    <w:uiPriority w:val="99"/>
    <w:semiHidden/>
    <w:rsid w:val="00FA0AE8"/>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5313">
      <w:bodyDiv w:val="1"/>
      <w:marLeft w:val="0"/>
      <w:marRight w:val="0"/>
      <w:marTop w:val="0"/>
      <w:marBottom w:val="0"/>
      <w:divBdr>
        <w:top w:val="none" w:sz="0" w:space="0" w:color="auto"/>
        <w:left w:val="none" w:sz="0" w:space="0" w:color="auto"/>
        <w:bottom w:val="none" w:sz="0" w:space="0" w:color="auto"/>
        <w:right w:val="none" w:sz="0" w:space="0" w:color="auto"/>
      </w:divBdr>
    </w:div>
    <w:div w:id="244580685">
      <w:bodyDiv w:val="1"/>
      <w:marLeft w:val="0"/>
      <w:marRight w:val="0"/>
      <w:marTop w:val="0"/>
      <w:marBottom w:val="0"/>
      <w:divBdr>
        <w:top w:val="none" w:sz="0" w:space="0" w:color="auto"/>
        <w:left w:val="none" w:sz="0" w:space="0" w:color="auto"/>
        <w:bottom w:val="none" w:sz="0" w:space="0" w:color="auto"/>
        <w:right w:val="none" w:sz="0" w:space="0" w:color="auto"/>
      </w:divBdr>
    </w:div>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400830519">
      <w:bodyDiv w:val="1"/>
      <w:marLeft w:val="0"/>
      <w:marRight w:val="0"/>
      <w:marTop w:val="0"/>
      <w:marBottom w:val="0"/>
      <w:divBdr>
        <w:top w:val="none" w:sz="0" w:space="0" w:color="auto"/>
        <w:left w:val="none" w:sz="0" w:space="0" w:color="auto"/>
        <w:bottom w:val="none" w:sz="0" w:space="0" w:color="auto"/>
        <w:right w:val="none" w:sz="0" w:space="0" w:color="auto"/>
      </w:divBdr>
    </w:div>
    <w:div w:id="702023973">
      <w:bodyDiv w:val="1"/>
      <w:marLeft w:val="0"/>
      <w:marRight w:val="0"/>
      <w:marTop w:val="0"/>
      <w:marBottom w:val="0"/>
      <w:divBdr>
        <w:top w:val="none" w:sz="0" w:space="0" w:color="auto"/>
        <w:left w:val="none" w:sz="0" w:space="0" w:color="auto"/>
        <w:bottom w:val="none" w:sz="0" w:space="0" w:color="auto"/>
        <w:right w:val="none" w:sz="0" w:space="0" w:color="auto"/>
      </w:divBdr>
    </w:div>
    <w:div w:id="973561460">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 w:id="178488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uncionpublica.gov.co/eva/gestornormativo/norma.php?i=731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83C108ABFF7546897431D4D2E44B11" ma:contentTypeVersion="2" ma:contentTypeDescription="Crear nuevo documento." ma:contentTypeScope="" ma:versionID="24351b8cd00141d26da8041d78e57c87">
  <xsd:schema xmlns:xsd="http://www.w3.org/2001/XMLSchema" xmlns:xs="http://www.w3.org/2001/XMLSchema" xmlns:p="http://schemas.microsoft.com/office/2006/metadata/properties" xmlns:ns3="1df4c72c-7254-4014-bcaa-28d21f9d2f73" targetNamespace="http://schemas.microsoft.com/office/2006/metadata/properties" ma:root="true" ma:fieldsID="f06c6366495b84a26f0ade5b207b7c91" ns3:_="">
    <xsd:import namespace="1df4c72c-7254-4014-bcaa-28d21f9d2f7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4c72c-7254-4014-bcaa-28d21f9d2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BB00D-FE65-4484-B296-8C85C364C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9E0389-E15C-46B1-9348-DD9AE801E724}">
  <ds:schemaRefs>
    <ds:schemaRef ds:uri="http://schemas.openxmlformats.org/officeDocument/2006/bibliography"/>
  </ds:schemaRefs>
</ds:datastoreItem>
</file>

<file path=customXml/itemProps3.xml><?xml version="1.0" encoding="utf-8"?>
<ds:datastoreItem xmlns:ds="http://schemas.openxmlformats.org/officeDocument/2006/customXml" ds:itemID="{680B9764-BC49-47A5-87A5-89700052C979}">
  <ds:schemaRefs>
    <ds:schemaRef ds:uri="http://schemas.microsoft.com/sharepoint/v3/contenttype/forms"/>
  </ds:schemaRefs>
</ds:datastoreItem>
</file>

<file path=customXml/itemProps4.xml><?xml version="1.0" encoding="utf-8"?>
<ds:datastoreItem xmlns:ds="http://schemas.openxmlformats.org/officeDocument/2006/customXml" ds:itemID="{9E623366-5B05-46AB-B3EF-4E2E25E44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4c72c-7254-4014-bcaa-28d21f9d2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3149</Words>
  <Characters>17321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Yein Passos Guerrero</dc:creator>
  <cp:keywords/>
  <dc:description/>
  <cp:lastModifiedBy>Luis Fernando Cardenas Uran</cp:lastModifiedBy>
  <cp:revision>4</cp:revision>
  <dcterms:created xsi:type="dcterms:W3CDTF">2021-06-30T21:03:00Z</dcterms:created>
  <dcterms:modified xsi:type="dcterms:W3CDTF">2021-08-16T14:27:00Z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0x0101003D83C108ABFF7546897431D4D2E44B11</vt:lpwstr>
  </property>
</Properties>
</file>