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D2863" w14:textId="2C674331" w:rsidR="00114D05" w:rsidRDefault="00114D05" w:rsidP="00114D05">
      <w:pPr>
        <w:jc w:val="center"/>
        <w:rPr>
          <w:rFonts w:ascii="Free 3 of 9" w:hAnsi="Free 3 of 9"/>
          <w:b/>
          <w:color w:val="000000"/>
          <w:sz w:val="40"/>
          <w:szCs w:val="40"/>
        </w:rPr>
      </w:pPr>
      <w:r>
        <w:rPr>
          <w:rFonts w:ascii="Free 3 of 9" w:hAnsi="Free 3 of 9"/>
          <w:color w:val="000000"/>
          <w:sz w:val="40"/>
          <w:szCs w:val="40"/>
        </w:rPr>
        <w:t xml:space="preserve">CONCEPTO ICBF </w:t>
      </w:r>
      <w:r>
        <w:rPr>
          <w:rFonts w:ascii="Free 3 of 9" w:hAnsi="Free 3 of 9"/>
          <w:b/>
          <w:color w:val="000000"/>
          <w:sz w:val="40"/>
          <w:szCs w:val="40"/>
        </w:rPr>
        <w:t xml:space="preserve">No </w:t>
      </w:r>
      <w:r>
        <w:rPr>
          <w:rFonts w:ascii="Free 3 of 9" w:hAnsi="Free 3 of 9"/>
          <w:b/>
          <w:color w:val="000000"/>
          <w:sz w:val="40"/>
          <w:szCs w:val="40"/>
        </w:rPr>
        <w:t>13</w:t>
      </w:r>
    </w:p>
    <w:p w14:paraId="5D22C6BF" w14:textId="35569234" w:rsidR="00114D05" w:rsidRPr="00114D05" w:rsidRDefault="00114D05" w:rsidP="00114D05">
      <w:pPr>
        <w:spacing w:after="0"/>
        <w:rPr>
          <w:bCs/>
          <w:color w:val="000000"/>
          <w:sz w:val="27"/>
          <w:szCs w:val="27"/>
          <w:lang w:val="en-US"/>
        </w:rPr>
      </w:pPr>
      <w:r w:rsidRPr="00114D05">
        <w:rPr>
          <w:rFonts w:ascii="Arial" w:hAnsi="Arial" w:cs="Arial"/>
          <w:bCs/>
          <w:lang w:val="en-US"/>
        </w:rPr>
        <w:t xml:space="preserve">Fecha: </w:t>
      </w:r>
      <w:r w:rsidRPr="00114D05">
        <w:rPr>
          <w:rFonts w:ascii="Arial" w:hAnsi="Arial" w:cs="Arial"/>
          <w:bCs/>
          <w:lang w:val="en-US"/>
        </w:rPr>
        <w:t xml:space="preserve"> 2020/07/23</w:t>
      </w:r>
    </w:p>
    <w:p w14:paraId="71BEB378" w14:textId="77777777" w:rsidR="00114D05" w:rsidRPr="00114D05" w:rsidRDefault="00114D05" w:rsidP="00114D05">
      <w:pPr>
        <w:spacing w:after="0"/>
        <w:rPr>
          <w:rFonts w:ascii="Arial" w:hAnsi="Arial" w:cs="Arial"/>
          <w:bC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06"/>
        <w:gridCol w:w="7822"/>
      </w:tblGrid>
      <w:tr w:rsidR="00A46BE2" w:rsidRPr="00114D05" w14:paraId="534D35D3" w14:textId="77777777" w:rsidTr="00114D05">
        <w:trPr>
          <w:tblCellSpacing w:w="15" w:type="dxa"/>
        </w:trPr>
        <w:tc>
          <w:tcPr>
            <w:tcW w:w="594" w:type="pct"/>
            <w:tcBorders>
              <w:top w:val="nil"/>
              <w:left w:val="nil"/>
              <w:bottom w:val="nil"/>
              <w:right w:val="nil"/>
            </w:tcBorders>
            <w:hideMark/>
          </w:tcPr>
          <w:p w14:paraId="095C3D70" w14:textId="55F65FBC" w:rsidR="00A46BE2" w:rsidRPr="00114D05" w:rsidRDefault="00A46BE2" w:rsidP="00805043">
            <w:pPr>
              <w:spacing w:after="0" w:line="245" w:lineRule="atLeast"/>
              <w:jc w:val="both"/>
              <w:rPr>
                <w:rFonts w:ascii="Arial" w:eastAsia="Times New Roman" w:hAnsi="Arial" w:cs="Arial"/>
                <w:bCs/>
                <w:lang w:eastAsia="es-ES"/>
              </w:rPr>
            </w:pPr>
            <w:r w:rsidRPr="00114D05">
              <w:rPr>
                <w:rFonts w:ascii="Arial" w:eastAsia="Times New Roman" w:hAnsi="Arial" w:cs="Arial"/>
                <w:bCs/>
                <w:lang w:eastAsia="es-ES"/>
              </w:rPr>
              <w:t>Asunto:</w:t>
            </w:r>
          </w:p>
        </w:tc>
        <w:tc>
          <w:tcPr>
            <w:tcW w:w="4355" w:type="pct"/>
            <w:tcBorders>
              <w:top w:val="nil"/>
              <w:left w:val="nil"/>
              <w:bottom w:val="nil"/>
              <w:right w:val="nil"/>
            </w:tcBorders>
            <w:hideMark/>
          </w:tcPr>
          <w:p w14:paraId="32ADB234" w14:textId="0640570E" w:rsidR="00A46BE2" w:rsidRPr="00114D05" w:rsidRDefault="00A46BE2" w:rsidP="00805043">
            <w:pPr>
              <w:spacing w:after="0" w:line="245" w:lineRule="atLeast"/>
              <w:jc w:val="both"/>
              <w:rPr>
                <w:rFonts w:ascii="Arial" w:hAnsi="Arial" w:cs="Arial"/>
                <w:bCs/>
                <w:color w:val="000000"/>
              </w:rPr>
            </w:pPr>
            <w:r w:rsidRPr="00114D05">
              <w:rPr>
                <w:rFonts w:ascii="Arial" w:hAnsi="Arial" w:cs="Arial"/>
                <w:bCs/>
                <w:color w:val="000000"/>
              </w:rPr>
              <w:t>Concepto Jurídico - Recursos de Reposición y en subsidio Apelación contra calificación de desempeño laboral de los empleados públicos de carrera administrativa y en período de prueba.</w:t>
            </w:r>
          </w:p>
          <w:p w14:paraId="4C9A376D" w14:textId="77777777" w:rsidR="00A46BE2" w:rsidRPr="00114D05" w:rsidRDefault="00A46BE2" w:rsidP="00805043">
            <w:pPr>
              <w:spacing w:after="0" w:line="245" w:lineRule="atLeast"/>
              <w:jc w:val="both"/>
              <w:rPr>
                <w:rFonts w:ascii="Arial" w:eastAsia="Times New Roman" w:hAnsi="Arial" w:cs="Arial"/>
                <w:bCs/>
                <w:lang w:eastAsia="es-ES"/>
              </w:rPr>
            </w:pPr>
          </w:p>
        </w:tc>
      </w:tr>
    </w:tbl>
    <w:p w14:paraId="12593CD2" w14:textId="44C280F8" w:rsidR="007964A2" w:rsidRDefault="007964A2" w:rsidP="007964A2">
      <w:pPr>
        <w:spacing w:after="0"/>
        <w:rPr>
          <w:rFonts w:ascii="Arial" w:hAnsi="Arial" w:cs="Arial"/>
          <w:b/>
          <w:lang w:val="en-US"/>
        </w:rPr>
      </w:pPr>
    </w:p>
    <w:p w14:paraId="74DA7E76" w14:textId="77777777" w:rsidR="00114D05" w:rsidRPr="00A46BE2" w:rsidRDefault="00114D05" w:rsidP="007964A2">
      <w:pPr>
        <w:spacing w:after="0"/>
        <w:rPr>
          <w:rFonts w:ascii="Arial" w:hAnsi="Arial" w:cs="Arial"/>
          <w:b/>
          <w:lang w:val="en-US"/>
        </w:rPr>
      </w:pPr>
    </w:p>
    <w:p w14:paraId="047F081A" w14:textId="77777777" w:rsidR="007964A2" w:rsidRPr="00A46BE2" w:rsidRDefault="007964A2" w:rsidP="007964A2">
      <w:pPr>
        <w:spacing w:after="0"/>
        <w:jc w:val="center"/>
        <w:rPr>
          <w:rFonts w:ascii="Arial" w:hAnsi="Arial" w:cs="Arial"/>
          <w:b/>
          <w:lang w:val="en-US"/>
        </w:rPr>
      </w:pPr>
    </w:p>
    <w:p w14:paraId="4513F875" w14:textId="77777777" w:rsidR="00A46BE2" w:rsidRDefault="00A46BE2" w:rsidP="00A46BE2">
      <w:pPr>
        <w:spacing w:after="0" w:line="240" w:lineRule="auto"/>
        <w:ind w:firstLine="20"/>
      </w:pPr>
      <w:r>
        <w:rPr>
          <w:rFonts w:ascii="Arial" w:hAnsi="Arial" w:cs="Arial"/>
          <w:noProof/>
          <w:color w:val="000000"/>
          <w:spacing w:val="-1"/>
        </w:rPr>
        <w:t>De</w:t>
      </w:r>
      <w:r>
        <w:rPr>
          <w:rFonts w:cs="Calibri"/>
          <w:noProof/>
          <w:color w:val="000000"/>
          <w:spacing w:val="12"/>
        </w:rPr>
        <w:t> </w:t>
      </w:r>
      <w:r>
        <w:rPr>
          <w:rFonts w:ascii="Arial" w:hAnsi="Arial" w:cs="Arial"/>
          <w:noProof/>
          <w:color w:val="000000"/>
        </w:rPr>
        <w:t>manera</w:t>
      </w:r>
      <w:r>
        <w:rPr>
          <w:rFonts w:cs="Calibri"/>
          <w:noProof/>
          <w:color w:val="000000"/>
          <w:spacing w:val="14"/>
        </w:rPr>
        <w:t> </w:t>
      </w:r>
      <w:r>
        <w:rPr>
          <w:rFonts w:ascii="Arial" w:hAnsi="Arial" w:cs="Arial"/>
          <w:noProof/>
          <w:color w:val="000000"/>
          <w:spacing w:val="-1"/>
        </w:rPr>
        <w:t>atenta,</w:t>
      </w:r>
      <w:r>
        <w:rPr>
          <w:rFonts w:cs="Calibri"/>
          <w:noProof/>
          <w:color w:val="000000"/>
          <w:spacing w:val="13"/>
        </w:rPr>
        <w:t> </w:t>
      </w:r>
      <w:r>
        <w:rPr>
          <w:rFonts w:ascii="Arial" w:hAnsi="Arial" w:cs="Arial"/>
          <w:noProof/>
          <w:color w:val="000000"/>
          <w:spacing w:val="-1"/>
        </w:rPr>
        <w:t>en</w:t>
      </w:r>
      <w:r>
        <w:rPr>
          <w:rFonts w:cs="Calibri"/>
          <w:noProof/>
          <w:color w:val="000000"/>
          <w:spacing w:val="12"/>
        </w:rPr>
        <w:t> </w:t>
      </w:r>
      <w:r>
        <w:rPr>
          <w:rFonts w:ascii="Arial" w:hAnsi="Arial" w:cs="Arial"/>
          <w:noProof/>
          <w:color w:val="000000"/>
          <w:spacing w:val="-1"/>
        </w:rPr>
        <w:t>relación</w:t>
      </w:r>
      <w:r>
        <w:rPr>
          <w:rFonts w:cs="Calibri"/>
          <w:noProof/>
          <w:color w:val="000000"/>
          <w:spacing w:val="16"/>
        </w:rPr>
        <w:t> </w:t>
      </w:r>
      <w:r>
        <w:rPr>
          <w:rFonts w:ascii="Arial" w:hAnsi="Arial" w:cs="Arial"/>
          <w:noProof/>
          <w:color w:val="000000"/>
          <w:spacing w:val="-1"/>
        </w:rPr>
        <w:t>con</w:t>
      </w:r>
      <w:r>
        <w:rPr>
          <w:rFonts w:cs="Calibri"/>
          <w:noProof/>
          <w:color w:val="000000"/>
          <w:spacing w:val="12"/>
        </w:rPr>
        <w:t> </w:t>
      </w:r>
      <w:r>
        <w:rPr>
          <w:rFonts w:ascii="Arial" w:hAnsi="Arial" w:cs="Arial"/>
          <w:noProof/>
          <w:color w:val="000000"/>
          <w:spacing w:val="-1"/>
        </w:rPr>
        <w:t>el</w:t>
      </w:r>
      <w:r>
        <w:rPr>
          <w:rFonts w:cs="Calibri"/>
          <w:noProof/>
          <w:color w:val="000000"/>
          <w:spacing w:val="13"/>
        </w:rPr>
        <w:t> </w:t>
      </w:r>
      <w:r>
        <w:rPr>
          <w:rFonts w:ascii="Arial" w:hAnsi="Arial" w:cs="Arial"/>
          <w:noProof/>
          <w:color w:val="000000"/>
          <w:spacing w:val="-1"/>
        </w:rPr>
        <w:t>asunto</w:t>
      </w:r>
      <w:r>
        <w:rPr>
          <w:rFonts w:cs="Calibri"/>
          <w:noProof/>
          <w:color w:val="000000"/>
          <w:spacing w:val="12"/>
        </w:rPr>
        <w:t> </w:t>
      </w:r>
      <w:r>
        <w:rPr>
          <w:rFonts w:ascii="Arial" w:hAnsi="Arial" w:cs="Arial"/>
          <w:noProof/>
          <w:color w:val="000000"/>
          <w:spacing w:val="-1"/>
        </w:rPr>
        <w:t>de</w:t>
      </w:r>
      <w:r>
        <w:rPr>
          <w:rFonts w:cs="Calibri"/>
          <w:noProof/>
          <w:color w:val="000000"/>
          <w:spacing w:val="14"/>
        </w:rPr>
        <w:t> </w:t>
      </w:r>
      <w:r>
        <w:rPr>
          <w:rFonts w:ascii="Arial" w:hAnsi="Arial" w:cs="Arial"/>
          <w:noProof/>
          <w:color w:val="000000"/>
          <w:spacing w:val="-1"/>
        </w:rPr>
        <w:t>la</w:t>
      </w:r>
      <w:r>
        <w:rPr>
          <w:rFonts w:cs="Calibri"/>
          <w:noProof/>
          <w:color w:val="000000"/>
          <w:spacing w:val="12"/>
        </w:rPr>
        <w:t> </w:t>
      </w:r>
      <w:r>
        <w:rPr>
          <w:rFonts w:ascii="Arial" w:hAnsi="Arial" w:cs="Arial"/>
          <w:noProof/>
          <w:color w:val="000000"/>
          <w:spacing w:val="-1"/>
        </w:rPr>
        <w:t>referencia,</w:t>
      </w:r>
      <w:r>
        <w:rPr>
          <w:rFonts w:cs="Calibri"/>
          <w:noProof/>
          <w:color w:val="000000"/>
          <w:spacing w:val="15"/>
        </w:rPr>
        <w:t> </w:t>
      </w:r>
      <w:r>
        <w:rPr>
          <w:rFonts w:ascii="Arial" w:hAnsi="Arial" w:cs="Arial"/>
          <w:noProof/>
          <w:color w:val="000000"/>
          <w:spacing w:val="-1"/>
        </w:rPr>
        <w:t>en</w:t>
      </w:r>
      <w:r>
        <w:rPr>
          <w:rFonts w:cs="Calibri"/>
          <w:noProof/>
          <w:color w:val="000000"/>
          <w:spacing w:val="12"/>
        </w:rPr>
        <w:t> </w:t>
      </w:r>
      <w:r>
        <w:rPr>
          <w:rFonts w:ascii="Arial" w:hAnsi="Arial" w:cs="Arial"/>
          <w:noProof/>
          <w:color w:val="000000"/>
          <w:spacing w:val="-1"/>
        </w:rPr>
        <w:t>los</w:t>
      </w:r>
      <w:r>
        <w:rPr>
          <w:rFonts w:cs="Calibri"/>
          <w:noProof/>
          <w:color w:val="000000"/>
          <w:spacing w:val="14"/>
        </w:rPr>
        <w:t> </w:t>
      </w:r>
      <w:r>
        <w:rPr>
          <w:rFonts w:ascii="Arial" w:hAnsi="Arial" w:cs="Arial"/>
          <w:noProof/>
          <w:color w:val="000000"/>
          <w:spacing w:val="-1"/>
        </w:rPr>
        <w:t>términos</w:t>
      </w:r>
      <w:r>
        <w:rPr>
          <w:rFonts w:cs="Calibri"/>
          <w:noProof/>
          <w:color w:val="000000"/>
          <w:spacing w:val="14"/>
        </w:rPr>
        <w:t> </w:t>
      </w:r>
      <w:r>
        <w:rPr>
          <w:rFonts w:ascii="Arial" w:hAnsi="Arial" w:cs="Arial"/>
          <w:noProof/>
          <w:color w:val="000000"/>
          <w:spacing w:val="-1"/>
        </w:rPr>
        <w:t>previstos</w:t>
      </w:r>
      <w:r>
        <w:rPr>
          <w:rFonts w:cs="Calibri"/>
          <w:noProof/>
          <w:color w:val="000000"/>
          <w:spacing w:val="12"/>
        </w:rPr>
        <w:t> </w:t>
      </w:r>
      <w:r>
        <w:rPr>
          <w:rFonts w:ascii="Arial" w:hAnsi="Arial" w:cs="Arial"/>
          <w:noProof/>
          <w:color w:val="000000"/>
          <w:spacing w:val="-1"/>
        </w:rPr>
        <w:t>en</w:t>
      </w:r>
    </w:p>
    <w:p w14:paraId="2A2F8908" w14:textId="77777777" w:rsidR="00A46BE2" w:rsidRDefault="00A46BE2" w:rsidP="00A46BE2">
      <w:pPr>
        <w:spacing w:after="0" w:line="240" w:lineRule="auto"/>
        <w:ind w:firstLine="20"/>
      </w:pPr>
      <w:r>
        <w:rPr>
          <w:rFonts w:ascii="Arial" w:hAnsi="Arial" w:cs="Arial"/>
          <w:noProof/>
          <w:color w:val="000000"/>
          <w:spacing w:val="-1"/>
        </w:rPr>
        <w:t>los</w:t>
      </w:r>
      <w:r>
        <w:rPr>
          <w:rFonts w:cs="Calibri"/>
          <w:noProof/>
          <w:color w:val="000000"/>
          <w:w w:val="192"/>
        </w:rPr>
        <w:t> </w:t>
      </w:r>
      <w:r>
        <w:rPr>
          <w:rFonts w:ascii="Arial" w:hAnsi="Arial" w:cs="Arial"/>
          <w:noProof/>
          <w:color w:val="000000"/>
          <w:spacing w:val="-1"/>
        </w:rPr>
        <w:t>artículos</w:t>
      </w:r>
      <w:r>
        <w:rPr>
          <w:rFonts w:cs="Calibri"/>
          <w:noProof/>
          <w:color w:val="000000"/>
          <w:w w:val="196"/>
        </w:rPr>
        <w:t> </w:t>
      </w:r>
      <w:r>
        <w:rPr>
          <w:rFonts w:ascii="Arial" w:hAnsi="Arial" w:cs="Arial"/>
          <w:noProof/>
          <w:color w:val="000000"/>
          <w:spacing w:val="-1"/>
        </w:rPr>
        <w:t>26</w:t>
      </w:r>
      <w:r>
        <w:rPr>
          <w:rFonts w:cs="Calibri"/>
          <w:noProof/>
          <w:color w:val="000000"/>
          <w:w w:val="195"/>
        </w:rPr>
        <w:t> </w:t>
      </w:r>
      <w:r>
        <w:rPr>
          <w:rFonts w:ascii="Arial" w:hAnsi="Arial" w:cs="Arial"/>
          <w:noProof/>
          <w:color w:val="000000"/>
          <w:spacing w:val="-1"/>
        </w:rPr>
        <w:t>del</w:t>
      </w:r>
      <w:r>
        <w:rPr>
          <w:rFonts w:cs="Calibri"/>
          <w:noProof/>
          <w:color w:val="000000"/>
          <w:w w:val="194"/>
        </w:rPr>
        <w:t> </w:t>
      </w:r>
      <w:r>
        <w:rPr>
          <w:rFonts w:ascii="Arial" w:hAnsi="Arial" w:cs="Arial"/>
          <w:noProof/>
          <w:color w:val="000000"/>
          <w:spacing w:val="-1"/>
        </w:rPr>
        <w:t>Código</w:t>
      </w:r>
      <w:r>
        <w:rPr>
          <w:rFonts w:cs="Calibri"/>
          <w:noProof/>
          <w:color w:val="000000"/>
          <w:w w:val="195"/>
        </w:rPr>
        <w:t> </w:t>
      </w:r>
      <w:r>
        <w:rPr>
          <w:rFonts w:ascii="Arial" w:hAnsi="Arial" w:cs="Arial"/>
          <w:noProof/>
          <w:color w:val="000000"/>
          <w:spacing w:val="-1"/>
        </w:rPr>
        <w:t>Civil,</w:t>
      </w:r>
      <w:r>
        <w:rPr>
          <w:rFonts w:cs="Calibri"/>
          <w:noProof/>
          <w:color w:val="000000"/>
          <w:w w:val="198"/>
        </w:rPr>
        <w:t> </w:t>
      </w:r>
      <w:r>
        <w:rPr>
          <w:rFonts w:ascii="Arial" w:hAnsi="Arial" w:cs="Arial"/>
          <w:noProof/>
          <w:color w:val="000000"/>
          <w:spacing w:val="-1"/>
        </w:rPr>
        <w:t>la</w:t>
      </w:r>
      <w:r>
        <w:rPr>
          <w:rFonts w:cs="Calibri"/>
          <w:noProof/>
          <w:color w:val="000000"/>
          <w:w w:val="195"/>
        </w:rPr>
        <w:t> </w:t>
      </w:r>
      <w:r>
        <w:rPr>
          <w:rFonts w:ascii="Arial" w:hAnsi="Arial" w:cs="Arial"/>
          <w:noProof/>
          <w:color w:val="000000"/>
          <w:spacing w:val="-1"/>
        </w:rPr>
        <w:t>Ley</w:t>
      </w:r>
      <w:r>
        <w:rPr>
          <w:rFonts w:cs="Calibri"/>
          <w:noProof/>
          <w:color w:val="000000"/>
          <w:w w:val="196"/>
        </w:rPr>
        <w:t> </w:t>
      </w:r>
      <w:r>
        <w:rPr>
          <w:rFonts w:ascii="Arial" w:hAnsi="Arial" w:cs="Arial"/>
          <w:noProof/>
          <w:color w:val="000000"/>
          <w:spacing w:val="-1"/>
        </w:rPr>
        <w:t>1755</w:t>
      </w:r>
      <w:r>
        <w:rPr>
          <w:rFonts w:cs="Calibri"/>
          <w:noProof/>
          <w:color w:val="000000"/>
          <w:w w:val="191"/>
        </w:rPr>
        <w:t> </w:t>
      </w:r>
      <w:r>
        <w:rPr>
          <w:rFonts w:ascii="Arial" w:hAnsi="Arial" w:cs="Arial"/>
          <w:noProof/>
          <w:color w:val="000000"/>
          <w:spacing w:val="-1"/>
        </w:rPr>
        <w:t>de</w:t>
      </w:r>
      <w:r>
        <w:rPr>
          <w:rFonts w:cs="Calibri"/>
          <w:noProof/>
          <w:color w:val="000000"/>
          <w:w w:val="195"/>
        </w:rPr>
        <w:t> </w:t>
      </w:r>
      <w:r>
        <w:rPr>
          <w:rFonts w:ascii="Arial" w:hAnsi="Arial" w:cs="Arial"/>
          <w:noProof/>
          <w:color w:val="000000"/>
          <w:spacing w:val="-1"/>
        </w:rPr>
        <w:t>2015,</w:t>
      </w:r>
      <w:r>
        <w:rPr>
          <w:rFonts w:cs="Calibri"/>
          <w:noProof/>
          <w:color w:val="000000"/>
          <w:w w:val="204"/>
        </w:rPr>
        <w:t> </w:t>
      </w:r>
      <w:r>
        <w:rPr>
          <w:rFonts w:ascii="Arial" w:hAnsi="Arial" w:cs="Arial"/>
          <w:noProof/>
          <w:color w:val="000000"/>
          <w:spacing w:val="-1"/>
        </w:rPr>
        <w:t>y</w:t>
      </w:r>
      <w:r>
        <w:rPr>
          <w:rFonts w:cs="Calibri"/>
          <w:noProof/>
          <w:color w:val="000000"/>
          <w:w w:val="192"/>
        </w:rPr>
        <w:t> </w:t>
      </w:r>
      <w:r>
        <w:rPr>
          <w:rFonts w:ascii="Arial" w:hAnsi="Arial" w:cs="Arial"/>
          <w:noProof/>
          <w:color w:val="000000"/>
          <w:spacing w:val="-1"/>
        </w:rPr>
        <w:t>el</w:t>
      </w:r>
      <w:r>
        <w:rPr>
          <w:rFonts w:cs="Calibri"/>
          <w:noProof/>
          <w:color w:val="000000"/>
          <w:w w:val="194"/>
        </w:rPr>
        <w:t> </w:t>
      </w:r>
      <w:r>
        <w:rPr>
          <w:rFonts w:ascii="Arial" w:hAnsi="Arial" w:cs="Arial"/>
          <w:noProof/>
          <w:color w:val="000000"/>
          <w:spacing w:val="-1"/>
        </w:rPr>
        <w:t>artículo</w:t>
      </w:r>
      <w:r>
        <w:rPr>
          <w:rFonts w:cs="Calibri"/>
          <w:noProof/>
          <w:color w:val="000000"/>
          <w:w w:val="191"/>
        </w:rPr>
        <w:t> </w:t>
      </w:r>
      <w:r>
        <w:rPr>
          <w:rFonts w:ascii="Arial" w:hAnsi="Arial" w:cs="Arial"/>
          <w:noProof/>
          <w:color w:val="000000"/>
          <w:spacing w:val="-1"/>
        </w:rPr>
        <w:t>6°,</w:t>
      </w:r>
      <w:r>
        <w:rPr>
          <w:rFonts w:cs="Calibri"/>
          <w:noProof/>
          <w:color w:val="000000"/>
          <w:w w:val="194"/>
        </w:rPr>
        <w:t> </w:t>
      </w:r>
      <w:r>
        <w:rPr>
          <w:rFonts w:ascii="Arial" w:hAnsi="Arial" w:cs="Arial"/>
          <w:noProof/>
          <w:color w:val="000000"/>
          <w:spacing w:val="-1"/>
        </w:rPr>
        <w:t>numeral</w:t>
      </w:r>
      <w:r>
        <w:rPr>
          <w:rFonts w:cs="Calibri"/>
          <w:noProof/>
          <w:color w:val="000000"/>
          <w:w w:val="194"/>
        </w:rPr>
        <w:t> </w:t>
      </w:r>
      <w:r>
        <w:rPr>
          <w:rFonts w:ascii="Arial" w:hAnsi="Arial" w:cs="Arial"/>
          <w:noProof/>
          <w:color w:val="000000"/>
          <w:spacing w:val="-2"/>
        </w:rPr>
        <w:t>4,</w:t>
      </w:r>
      <w:r>
        <w:rPr>
          <w:rFonts w:cs="Calibri"/>
          <w:noProof/>
          <w:color w:val="000000"/>
          <w:w w:val="198"/>
        </w:rPr>
        <w:t> </w:t>
      </w:r>
      <w:r>
        <w:rPr>
          <w:rFonts w:ascii="Arial" w:hAnsi="Arial" w:cs="Arial"/>
          <w:noProof/>
          <w:color w:val="000000"/>
          <w:spacing w:val="-1"/>
        </w:rPr>
        <w:t>del</w:t>
      </w:r>
    </w:p>
    <w:p w14:paraId="7CA8BA4A" w14:textId="77777777" w:rsidR="00A46BE2" w:rsidRDefault="00A46BE2" w:rsidP="00A46BE2">
      <w:pPr>
        <w:spacing w:after="0" w:line="240" w:lineRule="auto"/>
        <w:ind w:firstLine="20"/>
      </w:pPr>
      <w:r>
        <w:rPr>
          <w:rFonts w:ascii="Arial" w:hAnsi="Arial" w:cs="Arial"/>
          <w:noProof/>
          <w:color w:val="000000"/>
          <w:spacing w:val="-1"/>
        </w:rPr>
        <w:t>Decreto</w:t>
      </w:r>
      <w:r>
        <w:rPr>
          <w:rFonts w:cs="Calibri"/>
          <w:noProof/>
          <w:color w:val="000000"/>
          <w:w w:val="187"/>
        </w:rPr>
        <w:t> </w:t>
      </w:r>
      <w:r>
        <w:rPr>
          <w:rFonts w:ascii="Arial" w:hAnsi="Arial" w:cs="Arial"/>
          <w:noProof/>
          <w:color w:val="000000"/>
          <w:spacing w:val="-1"/>
        </w:rPr>
        <w:t>987</w:t>
      </w:r>
      <w:r>
        <w:rPr>
          <w:rFonts w:cs="Calibri"/>
          <w:noProof/>
          <w:color w:val="000000"/>
          <w:w w:val="187"/>
        </w:rPr>
        <w:t> </w:t>
      </w:r>
      <w:r>
        <w:rPr>
          <w:rFonts w:ascii="Arial" w:hAnsi="Arial" w:cs="Arial"/>
          <w:noProof/>
          <w:color w:val="000000"/>
          <w:spacing w:val="-1"/>
        </w:rPr>
        <w:t>de</w:t>
      </w:r>
      <w:r>
        <w:rPr>
          <w:rFonts w:cs="Calibri"/>
          <w:noProof/>
          <w:color w:val="000000"/>
          <w:w w:val="187"/>
        </w:rPr>
        <w:t> </w:t>
      </w:r>
      <w:r>
        <w:rPr>
          <w:rFonts w:ascii="Arial" w:hAnsi="Arial" w:cs="Arial"/>
          <w:noProof/>
          <w:color w:val="000000"/>
          <w:spacing w:val="-1"/>
        </w:rPr>
        <w:t>2012,</w:t>
      </w:r>
      <w:r>
        <w:rPr>
          <w:rFonts w:cs="Calibri"/>
          <w:noProof/>
          <w:color w:val="000000"/>
          <w:w w:val="188"/>
        </w:rPr>
        <w:t> </w:t>
      </w:r>
      <w:r>
        <w:rPr>
          <w:rFonts w:ascii="Arial" w:hAnsi="Arial" w:cs="Arial"/>
          <w:noProof/>
          <w:color w:val="000000"/>
          <w:spacing w:val="-1"/>
        </w:rPr>
        <w:t>se</w:t>
      </w:r>
      <w:r>
        <w:rPr>
          <w:rFonts w:cs="Calibri"/>
          <w:noProof/>
          <w:color w:val="000000"/>
          <w:w w:val="187"/>
        </w:rPr>
        <w:t> </w:t>
      </w:r>
      <w:r>
        <w:rPr>
          <w:rFonts w:ascii="Arial" w:hAnsi="Arial" w:cs="Arial"/>
          <w:noProof/>
          <w:color w:val="000000"/>
          <w:spacing w:val="-1"/>
        </w:rPr>
        <w:t>da</w:t>
      </w:r>
      <w:r>
        <w:rPr>
          <w:rFonts w:cs="Calibri"/>
          <w:noProof/>
          <w:color w:val="000000"/>
          <w:w w:val="187"/>
        </w:rPr>
        <w:t> </w:t>
      </w:r>
      <w:r>
        <w:rPr>
          <w:rFonts w:ascii="Arial" w:hAnsi="Arial" w:cs="Arial"/>
          <w:noProof/>
          <w:color w:val="000000"/>
        </w:rPr>
        <w:t>respuesta</w:t>
      </w:r>
      <w:r>
        <w:rPr>
          <w:rFonts w:cs="Calibri"/>
          <w:noProof/>
          <w:color w:val="000000"/>
          <w:w w:val="187"/>
        </w:rPr>
        <w:t> </w:t>
      </w:r>
      <w:r>
        <w:rPr>
          <w:rFonts w:ascii="Arial" w:hAnsi="Arial" w:cs="Arial"/>
          <w:noProof/>
          <w:color w:val="000000"/>
          <w:spacing w:val="-1"/>
        </w:rPr>
        <w:t>a</w:t>
      </w:r>
      <w:r>
        <w:rPr>
          <w:rFonts w:cs="Calibri"/>
          <w:noProof/>
          <w:color w:val="000000"/>
          <w:w w:val="183"/>
        </w:rPr>
        <w:t> </w:t>
      </w:r>
      <w:r>
        <w:rPr>
          <w:rFonts w:ascii="Arial" w:hAnsi="Arial" w:cs="Arial"/>
          <w:noProof/>
          <w:color w:val="000000"/>
          <w:spacing w:val="-1"/>
        </w:rPr>
        <w:t>la</w:t>
      </w:r>
      <w:r>
        <w:rPr>
          <w:rFonts w:cs="Calibri"/>
          <w:noProof/>
          <w:color w:val="000000"/>
          <w:w w:val="191"/>
        </w:rPr>
        <w:t> </w:t>
      </w:r>
      <w:r>
        <w:rPr>
          <w:rFonts w:ascii="Arial" w:hAnsi="Arial" w:cs="Arial"/>
          <w:noProof/>
          <w:color w:val="000000"/>
          <w:spacing w:val="-1"/>
        </w:rPr>
        <w:t>consulta</w:t>
      </w:r>
      <w:r>
        <w:rPr>
          <w:rFonts w:cs="Calibri"/>
          <w:noProof/>
          <w:color w:val="000000"/>
          <w:w w:val="187"/>
        </w:rPr>
        <w:t> </w:t>
      </w:r>
      <w:r>
        <w:rPr>
          <w:rFonts w:ascii="Arial" w:hAnsi="Arial" w:cs="Arial"/>
          <w:noProof/>
          <w:color w:val="000000"/>
          <w:spacing w:val="-1"/>
        </w:rPr>
        <w:t>sobre</w:t>
      </w:r>
      <w:r>
        <w:rPr>
          <w:rFonts w:cs="Calibri"/>
          <w:noProof/>
          <w:color w:val="000000"/>
          <w:w w:val="187"/>
        </w:rPr>
        <w:t> </w:t>
      </w:r>
      <w:r>
        <w:rPr>
          <w:rFonts w:ascii="Arial" w:hAnsi="Arial" w:cs="Arial"/>
          <w:noProof/>
          <w:color w:val="000000"/>
          <w:spacing w:val="-1"/>
        </w:rPr>
        <w:t>el</w:t>
      </w:r>
      <w:r>
        <w:rPr>
          <w:rFonts w:cs="Calibri"/>
          <w:noProof/>
          <w:color w:val="000000"/>
          <w:w w:val="186"/>
        </w:rPr>
        <w:t> </w:t>
      </w:r>
      <w:r>
        <w:rPr>
          <w:rFonts w:ascii="Arial" w:hAnsi="Arial" w:cs="Arial"/>
          <w:noProof/>
          <w:color w:val="000000"/>
          <w:spacing w:val="-1"/>
        </w:rPr>
        <w:t>caso</w:t>
      </w:r>
      <w:r>
        <w:rPr>
          <w:rFonts w:cs="Calibri"/>
          <w:noProof/>
          <w:color w:val="000000"/>
          <w:w w:val="187"/>
        </w:rPr>
        <w:t> </w:t>
      </w:r>
      <w:r>
        <w:rPr>
          <w:rFonts w:ascii="Arial" w:hAnsi="Arial" w:cs="Arial"/>
          <w:noProof/>
          <w:color w:val="000000"/>
          <w:spacing w:val="-1"/>
        </w:rPr>
        <w:t>en</w:t>
      </w:r>
      <w:r>
        <w:rPr>
          <w:rFonts w:cs="Calibri"/>
          <w:noProof/>
          <w:color w:val="000000"/>
          <w:w w:val="187"/>
        </w:rPr>
        <w:t> </w:t>
      </w:r>
      <w:r>
        <w:rPr>
          <w:rFonts w:ascii="Arial" w:hAnsi="Arial" w:cs="Arial"/>
          <w:noProof/>
          <w:color w:val="000000"/>
          <w:spacing w:val="-1"/>
        </w:rPr>
        <w:t>cuestión,</w:t>
      </w:r>
      <w:r>
        <w:rPr>
          <w:rFonts w:cs="Calibri"/>
          <w:noProof/>
          <w:color w:val="000000"/>
          <w:w w:val="190"/>
        </w:rPr>
        <w:t> </w:t>
      </w:r>
      <w:r>
        <w:rPr>
          <w:rFonts w:ascii="Arial" w:hAnsi="Arial" w:cs="Arial"/>
          <w:noProof/>
          <w:color w:val="000000"/>
          <w:spacing w:val="-1"/>
        </w:rPr>
        <w:t>en</w:t>
      </w:r>
      <w:r>
        <w:rPr>
          <w:rFonts w:cs="Calibri"/>
          <w:noProof/>
          <w:color w:val="000000"/>
          <w:w w:val="187"/>
        </w:rPr>
        <w:t> </w:t>
      </w:r>
      <w:r>
        <w:rPr>
          <w:rFonts w:ascii="Arial" w:hAnsi="Arial" w:cs="Arial"/>
          <w:noProof/>
          <w:color w:val="000000"/>
          <w:spacing w:val="-1"/>
        </w:rPr>
        <w:t>los</w:t>
      </w:r>
    </w:p>
    <w:p w14:paraId="6FFFA689" w14:textId="77777777" w:rsidR="00A46BE2" w:rsidRDefault="00A46BE2" w:rsidP="00A46BE2">
      <w:pPr>
        <w:spacing w:after="0" w:line="240" w:lineRule="auto"/>
        <w:ind w:firstLine="20"/>
        <w:rPr>
          <w:rFonts w:ascii="Arial" w:hAnsi="Arial" w:cs="Arial"/>
          <w:noProof/>
          <w:color w:val="000000"/>
          <w:spacing w:val="-1"/>
        </w:rPr>
      </w:pPr>
      <w:r>
        <w:rPr>
          <w:rFonts w:ascii="Arial" w:hAnsi="Arial" w:cs="Arial"/>
          <w:noProof/>
          <w:color w:val="000000"/>
          <w:spacing w:val="-1"/>
        </w:rPr>
        <w:t>términos</w:t>
      </w:r>
      <w:r>
        <w:rPr>
          <w:rFonts w:cs="Calibri"/>
          <w:noProof/>
          <w:color w:val="000000"/>
          <w:spacing w:val="11"/>
        </w:rPr>
        <w:t> </w:t>
      </w:r>
      <w:r>
        <w:rPr>
          <w:rFonts w:ascii="Arial" w:hAnsi="Arial" w:cs="Arial"/>
          <w:noProof/>
          <w:color w:val="000000"/>
          <w:spacing w:val="-1"/>
        </w:rPr>
        <w:t>que</w:t>
      </w:r>
      <w:r>
        <w:rPr>
          <w:rFonts w:cs="Calibri"/>
          <w:noProof/>
          <w:color w:val="000000"/>
          <w:spacing w:val="10"/>
        </w:rPr>
        <w:t> </w:t>
      </w:r>
      <w:r>
        <w:rPr>
          <w:rFonts w:ascii="Arial" w:hAnsi="Arial" w:cs="Arial"/>
          <w:noProof/>
          <w:color w:val="000000"/>
          <w:spacing w:val="-1"/>
        </w:rPr>
        <w:t>siguen:</w:t>
      </w:r>
    </w:p>
    <w:p w14:paraId="3DA4C723" w14:textId="77777777" w:rsidR="00A46BE2" w:rsidRDefault="00A46BE2" w:rsidP="00A46BE2">
      <w:pPr>
        <w:spacing w:after="0" w:line="240" w:lineRule="auto"/>
        <w:ind w:firstLine="20"/>
        <w:rPr>
          <w:rFonts w:ascii="Arial" w:hAnsi="Arial" w:cs="Arial"/>
          <w:noProof/>
          <w:color w:val="000000"/>
          <w:spacing w:val="-1"/>
        </w:rPr>
      </w:pPr>
    </w:p>
    <w:p w14:paraId="75785CCF" w14:textId="77777777" w:rsidR="00A46BE2" w:rsidRPr="002737AC" w:rsidRDefault="00A46BE2" w:rsidP="00A46BE2">
      <w:pPr>
        <w:pStyle w:val="Prrafodelista"/>
        <w:spacing w:after="0" w:line="240" w:lineRule="auto"/>
        <w:ind w:left="740"/>
        <w:jc w:val="center"/>
        <w:rPr>
          <w:b/>
        </w:rPr>
      </w:pPr>
      <w:r>
        <w:rPr>
          <w:rFonts w:ascii="Arial" w:hAnsi="Arial" w:cs="Arial"/>
          <w:b/>
          <w:noProof/>
          <w:color w:val="000000"/>
          <w:spacing w:val="-1"/>
        </w:rPr>
        <w:t xml:space="preserve">1. </w:t>
      </w:r>
      <w:r w:rsidRPr="002737AC">
        <w:rPr>
          <w:rFonts w:ascii="Arial" w:hAnsi="Arial" w:cs="Arial"/>
          <w:b/>
          <w:noProof/>
          <w:color w:val="000000"/>
          <w:spacing w:val="-1"/>
        </w:rPr>
        <w:t>PROBLEMA JUR</w:t>
      </w:r>
      <w:r>
        <w:rPr>
          <w:rFonts w:ascii="Arial" w:hAnsi="Arial" w:cs="Arial"/>
          <w:b/>
          <w:noProof/>
          <w:color w:val="000000"/>
          <w:spacing w:val="-1"/>
        </w:rPr>
        <w:t>Í</w:t>
      </w:r>
      <w:r w:rsidRPr="002737AC">
        <w:rPr>
          <w:rFonts w:ascii="Arial" w:hAnsi="Arial" w:cs="Arial"/>
          <w:b/>
          <w:noProof/>
          <w:color w:val="000000"/>
          <w:spacing w:val="-1"/>
        </w:rPr>
        <w:t>DICO</w:t>
      </w:r>
    </w:p>
    <w:p w14:paraId="258D5BE6" w14:textId="77777777" w:rsidR="00A46BE2" w:rsidRDefault="00A46BE2" w:rsidP="00A46BE2">
      <w:pPr>
        <w:spacing w:before="100" w:beforeAutospacing="1" w:line="240" w:lineRule="auto"/>
        <w:jc w:val="both"/>
        <w:rPr>
          <w:rFonts w:ascii="Arial" w:hAnsi="Arial" w:cs="Arial"/>
          <w:bdr w:val="none" w:sz="0" w:space="0" w:color="auto" w:frame="1"/>
        </w:rPr>
      </w:pPr>
      <w:r>
        <w:rPr>
          <w:rFonts w:ascii="Arial" w:eastAsia="Times New Roman" w:hAnsi="Arial" w:cs="Arial"/>
          <w:lang w:eastAsia="es-ES"/>
        </w:rPr>
        <w:t xml:space="preserve">Se solicita aclarar </w:t>
      </w:r>
      <w:r>
        <w:rPr>
          <w:rFonts w:ascii="Arial" w:hAnsi="Arial" w:cs="Arial"/>
          <w:bdr w:val="none" w:sz="0" w:space="0" w:color="auto" w:frame="1"/>
        </w:rPr>
        <w:t xml:space="preserve">si cuando el recurso de reposición es resuelto favorablemente en primera instancia es necesario remitir el expediente administrativo a la segunda instancia para que se estudie el recurso de apelación instaurado en el marco del proceso de Evaluación del Desempeño Laboral- EDL establecido en el </w:t>
      </w:r>
      <w:r>
        <w:rPr>
          <w:rFonts w:ascii="Arial" w:eastAsia="Times New Roman" w:hAnsi="Arial" w:cs="Arial"/>
          <w:bdr w:val="none" w:sz="0" w:space="0" w:color="auto" w:frame="1"/>
          <w:lang w:eastAsia="es-ES"/>
        </w:rPr>
        <w:t>Acuerdo CNSC 6176 de 2018, su Anexo Técnico y todas las normas que reglamentan la materia</w:t>
      </w:r>
      <w:r>
        <w:rPr>
          <w:rFonts w:ascii="Arial" w:hAnsi="Arial" w:cs="Arial"/>
          <w:bdr w:val="none" w:sz="0" w:space="0" w:color="auto" w:frame="1"/>
        </w:rPr>
        <w:t>.</w:t>
      </w:r>
    </w:p>
    <w:p w14:paraId="3B0B5335" w14:textId="77777777" w:rsidR="00A46BE2" w:rsidRPr="008B2523" w:rsidRDefault="00A46BE2" w:rsidP="00A46BE2">
      <w:pPr>
        <w:spacing w:before="100" w:beforeAutospacing="1" w:line="240" w:lineRule="auto"/>
        <w:jc w:val="center"/>
        <w:rPr>
          <w:rFonts w:ascii="Arial" w:eastAsia="Times New Roman" w:hAnsi="Arial" w:cs="Arial"/>
          <w:b/>
          <w:lang w:eastAsia="es-ES"/>
        </w:rPr>
      </w:pPr>
      <w:r w:rsidRPr="008B2523">
        <w:rPr>
          <w:rFonts w:ascii="Arial" w:eastAsia="Times New Roman" w:hAnsi="Arial" w:cs="Arial"/>
          <w:b/>
          <w:lang w:eastAsia="es-ES"/>
        </w:rPr>
        <w:t>2. ANÁLISIS DEL PROBLEMA JURÍDICO</w:t>
      </w:r>
    </w:p>
    <w:p w14:paraId="3C83EB20" w14:textId="77777777" w:rsidR="00A46BE2" w:rsidRDefault="00A46BE2" w:rsidP="00A46BE2">
      <w:pPr>
        <w:spacing w:before="100" w:beforeAutospacing="1" w:line="240" w:lineRule="auto"/>
        <w:jc w:val="both"/>
        <w:rPr>
          <w:rFonts w:ascii="Arial" w:eastAsia="Times New Roman" w:hAnsi="Arial" w:cs="Arial"/>
          <w:bCs/>
          <w:lang w:eastAsia="es-ES"/>
        </w:rPr>
      </w:pPr>
      <w:r>
        <w:rPr>
          <w:rFonts w:ascii="Arial" w:eastAsia="Times New Roman" w:hAnsi="Arial" w:cs="Arial"/>
          <w:bCs/>
          <w:lang w:eastAsia="es-ES"/>
        </w:rPr>
        <w:t xml:space="preserve">En primer término, ha de destacarse que los recursos ordinarios son los medios impugnativos que prevé la ley para que el afectado recurra una actuación de la administración, con el propósito de obtener por parte de esta la corrección, modificación o revocatoria de los actos o decisiones de carácter particular que considere lesivas a sus intereses ya sea por quien emitió el acto administrativo o el superior de este. Al respecto, se ha indicado: </w:t>
      </w:r>
    </w:p>
    <w:p w14:paraId="2BE0006B" w14:textId="77777777" w:rsidR="00A46BE2" w:rsidRDefault="00A46BE2" w:rsidP="00A46BE2">
      <w:pPr>
        <w:spacing w:before="100" w:beforeAutospacing="1" w:line="240" w:lineRule="auto"/>
        <w:ind w:left="720"/>
        <w:jc w:val="both"/>
        <w:rPr>
          <w:rFonts w:ascii="Arial" w:eastAsia="Times New Roman" w:hAnsi="Arial" w:cs="Arial"/>
          <w:bCs/>
          <w:lang w:eastAsia="es-ES"/>
        </w:rPr>
      </w:pPr>
      <w:r>
        <w:rPr>
          <w:rFonts w:ascii="Arial" w:eastAsia="Times New Roman" w:hAnsi="Arial" w:cs="Arial"/>
          <w:bCs/>
          <w:lang w:eastAsia="es-ES"/>
        </w:rPr>
        <w:t>“Los recursos administrativos son actos del administrado a través de los cuales solicita a la administración la modificación la revocación o la aclaración de una decisión. Son actos impugnatorios de una decisión y en este sentido se distinguen de las peticiones que buscan la producción de nuevos actos.</w:t>
      </w:r>
    </w:p>
    <w:p w14:paraId="4B7CE1E3" w14:textId="77777777" w:rsidR="00A46BE2" w:rsidRDefault="00A46BE2" w:rsidP="00A46BE2">
      <w:pPr>
        <w:spacing w:before="100" w:beforeAutospacing="1" w:line="240" w:lineRule="auto"/>
        <w:ind w:left="720"/>
        <w:jc w:val="both"/>
        <w:rPr>
          <w:rFonts w:ascii="Arial" w:eastAsia="Times New Roman" w:hAnsi="Arial" w:cs="Arial"/>
          <w:bCs/>
          <w:lang w:eastAsia="es-ES"/>
        </w:rPr>
      </w:pPr>
      <w:r>
        <w:rPr>
          <w:rFonts w:ascii="Arial" w:eastAsia="Times New Roman" w:hAnsi="Arial" w:cs="Arial"/>
          <w:bCs/>
          <w:lang w:eastAsia="es-ES"/>
        </w:rPr>
        <w:lastRenderedPageBreak/>
        <w:t>Es indudable que por constituir un medio de impugnación de las decisiones definitivas de la administración constituyen una garantía, ya que se otorga la posibilidad de impugnarlas y, eventualmente, eliminar el perjuicio que comportan”</w:t>
      </w:r>
      <w:r>
        <w:rPr>
          <w:rStyle w:val="Refdenotaalpie"/>
          <w:rFonts w:ascii="Arial" w:eastAsia="Times New Roman" w:hAnsi="Arial" w:cs="Arial"/>
          <w:bCs/>
          <w:lang w:eastAsia="es-ES"/>
        </w:rPr>
        <w:footnoteReference w:id="1"/>
      </w:r>
      <w:r>
        <w:rPr>
          <w:rFonts w:ascii="Arial" w:eastAsia="Times New Roman" w:hAnsi="Arial" w:cs="Arial"/>
          <w:bCs/>
          <w:lang w:eastAsia="es-ES"/>
        </w:rPr>
        <w:t xml:space="preserve">. </w:t>
      </w:r>
    </w:p>
    <w:p w14:paraId="10F29337" w14:textId="77777777" w:rsidR="00A46BE2" w:rsidRDefault="00A46BE2" w:rsidP="00A46BE2">
      <w:pPr>
        <w:spacing w:before="100" w:beforeAutospacing="1" w:line="240" w:lineRule="auto"/>
        <w:jc w:val="both"/>
        <w:rPr>
          <w:rFonts w:ascii="Arial" w:eastAsia="Times New Roman" w:hAnsi="Arial" w:cs="Arial"/>
          <w:bCs/>
          <w:lang w:eastAsia="es-ES"/>
        </w:rPr>
      </w:pPr>
      <w:r>
        <w:rPr>
          <w:rFonts w:ascii="Arial" w:eastAsia="Times New Roman" w:hAnsi="Arial" w:cs="Arial"/>
          <w:bCs/>
          <w:lang w:eastAsia="es-ES"/>
        </w:rPr>
        <w:t>En línea con lo dispuesto</w:t>
      </w:r>
      <w:r w:rsidRPr="00143D9B">
        <w:rPr>
          <w:rFonts w:ascii="Arial" w:eastAsia="Times New Roman" w:hAnsi="Arial" w:cs="Arial"/>
          <w:bCs/>
          <w:lang w:eastAsia="es-ES"/>
        </w:rPr>
        <w:t xml:space="preserve"> en</w:t>
      </w:r>
      <w:r>
        <w:rPr>
          <w:rFonts w:ascii="Arial" w:eastAsia="Times New Roman" w:hAnsi="Arial" w:cs="Arial"/>
          <w:bCs/>
          <w:lang w:eastAsia="es-ES"/>
        </w:rPr>
        <w:t xml:space="preserve"> el artículo 74 del Código de Procedimiento Administrativo y de lo Contencioso Administrativo (CPACA) se entienden como recursos ordinarios: el recurso de reposición, la apelación, la queja y la súplica.</w:t>
      </w:r>
    </w:p>
    <w:p w14:paraId="45065EFA" w14:textId="77777777" w:rsidR="00A46BE2" w:rsidRPr="00143D9B" w:rsidRDefault="00A46BE2" w:rsidP="00A46BE2">
      <w:pPr>
        <w:spacing w:line="240" w:lineRule="auto"/>
        <w:jc w:val="both"/>
        <w:rPr>
          <w:rFonts w:ascii="Arial" w:eastAsia="Times New Roman" w:hAnsi="Arial" w:cs="Arial"/>
          <w:lang w:eastAsia="es-ES"/>
        </w:rPr>
      </w:pPr>
      <w:r>
        <w:rPr>
          <w:rFonts w:ascii="Arial" w:eastAsia="Times New Roman" w:hAnsi="Arial" w:cs="Arial"/>
          <w:lang w:eastAsia="es-ES"/>
        </w:rPr>
        <w:t>Ahora bien, teniendo en cuenta el objeto de esta consulta, ha de resaltarse que el artículo 17 del Acuerdo 6176 de 2018 “</w:t>
      </w:r>
      <w:r>
        <w:rPr>
          <w:rFonts w:ascii="Arial" w:hAnsi="Arial" w:cs="Arial"/>
          <w:i/>
          <w:iCs/>
        </w:rPr>
        <w:t xml:space="preserve">Por el cual se establece el Sistema Tipo de Evaluación del Desempeño Laboral de los Empleados Públicos de Carrera Administrativa y en Período de Prueba”, </w:t>
      </w:r>
      <w:r w:rsidRPr="00143D9B">
        <w:rPr>
          <w:rFonts w:ascii="Arial" w:hAnsi="Arial" w:cs="Arial"/>
          <w:iCs/>
        </w:rPr>
        <w:t>normativa aplicable p</w:t>
      </w:r>
      <w:r w:rsidRPr="0062408E">
        <w:rPr>
          <w:rFonts w:ascii="Arial" w:eastAsia="Times New Roman" w:hAnsi="Arial" w:cs="Arial"/>
          <w:lang w:eastAsia="es-ES"/>
        </w:rPr>
        <w:t>ara la evaluación del desempeño laboral de los empleados públicos de carrera administrativa del ICBF</w:t>
      </w:r>
      <w:r>
        <w:rPr>
          <w:rFonts w:ascii="Arial" w:eastAsia="Times New Roman" w:hAnsi="Arial" w:cs="Arial"/>
          <w:lang w:eastAsia="es-ES"/>
        </w:rPr>
        <w:t>, dispone lo siguiente:</w:t>
      </w:r>
    </w:p>
    <w:p w14:paraId="207666ED" w14:textId="77777777" w:rsidR="00A46BE2" w:rsidRDefault="00A46BE2" w:rsidP="00A46BE2">
      <w:pPr>
        <w:autoSpaceDE w:val="0"/>
        <w:autoSpaceDN w:val="0"/>
        <w:adjustRightInd w:val="0"/>
        <w:spacing w:line="240" w:lineRule="auto"/>
        <w:ind w:left="567"/>
        <w:jc w:val="both"/>
        <w:rPr>
          <w:rFonts w:ascii="Arial" w:hAnsi="Arial" w:cs="Arial"/>
          <w:i/>
          <w:sz w:val="20"/>
          <w:szCs w:val="20"/>
        </w:rPr>
      </w:pPr>
      <w:r w:rsidRPr="00124877">
        <w:rPr>
          <w:rFonts w:ascii="Arial" w:hAnsi="Arial" w:cs="Arial"/>
          <w:b/>
          <w:bCs/>
          <w:i/>
          <w:sz w:val="20"/>
          <w:szCs w:val="20"/>
        </w:rPr>
        <w:t>“ARTÍCULO 17°.</w:t>
      </w:r>
      <w:r w:rsidRPr="00124877">
        <w:rPr>
          <w:rFonts w:ascii="Arial" w:hAnsi="Arial" w:cs="Arial"/>
          <w:i/>
          <w:sz w:val="20"/>
          <w:szCs w:val="20"/>
        </w:rPr>
        <w:t xml:space="preserve"> RECURSOS CONTRA LA CALIFICACIÓN DEFINITIVA. Los recursos en contra de la calificación definitiva se adelantarán en los términos de los artículos 35, 36 y 37 del Decreto Ley 760 de 2005 y en el trámite y decisión de </w:t>
      </w:r>
      <w:proofErr w:type="gramStart"/>
      <w:r w:rsidRPr="00124877">
        <w:rPr>
          <w:rFonts w:ascii="Arial" w:hAnsi="Arial" w:cs="Arial"/>
          <w:i/>
          <w:sz w:val="20"/>
          <w:szCs w:val="20"/>
        </w:rPr>
        <w:t>los mismos</w:t>
      </w:r>
      <w:proofErr w:type="gramEnd"/>
      <w:r w:rsidRPr="00124877">
        <w:rPr>
          <w:rFonts w:ascii="Arial" w:hAnsi="Arial" w:cs="Arial"/>
          <w:i/>
          <w:sz w:val="20"/>
          <w:szCs w:val="20"/>
        </w:rPr>
        <w:t xml:space="preserve"> se aplicará lo dispuesto en el Código de Procedimiento Administrativo y de lo Contencioso Administrativo CPACA - o las disposiciones que lo modifiquen, aclaren o sustituyan. </w:t>
      </w:r>
    </w:p>
    <w:p w14:paraId="79575E39" w14:textId="77777777" w:rsidR="00A46BE2" w:rsidRPr="00124877" w:rsidRDefault="00A46BE2" w:rsidP="00A46BE2">
      <w:pPr>
        <w:autoSpaceDE w:val="0"/>
        <w:autoSpaceDN w:val="0"/>
        <w:adjustRightInd w:val="0"/>
        <w:spacing w:line="240" w:lineRule="auto"/>
        <w:ind w:left="567"/>
        <w:jc w:val="both"/>
        <w:rPr>
          <w:rFonts w:ascii="Arial" w:eastAsia="Times New Roman" w:hAnsi="Arial" w:cs="Arial"/>
          <w:i/>
          <w:sz w:val="20"/>
          <w:szCs w:val="20"/>
          <w:lang w:eastAsia="es-ES"/>
        </w:rPr>
      </w:pPr>
      <w:r w:rsidRPr="00124877">
        <w:rPr>
          <w:rFonts w:ascii="Arial" w:hAnsi="Arial" w:cs="Arial"/>
          <w:i/>
          <w:sz w:val="20"/>
          <w:szCs w:val="20"/>
        </w:rPr>
        <w:t>En todo caso, en contra de las evaluaciones parciales semestrales y eventuales no procede recurso alguno.”</w:t>
      </w:r>
    </w:p>
    <w:p w14:paraId="27C69F87" w14:textId="77777777" w:rsidR="00A46BE2" w:rsidRDefault="00A46BE2" w:rsidP="00A46BE2">
      <w:pPr>
        <w:spacing w:before="100" w:beforeAutospacing="1" w:line="240" w:lineRule="auto"/>
        <w:jc w:val="both"/>
        <w:rPr>
          <w:rFonts w:ascii="Arial" w:eastAsia="Times New Roman" w:hAnsi="Arial" w:cs="Arial"/>
          <w:lang w:eastAsia="es-ES"/>
        </w:rPr>
      </w:pPr>
      <w:r>
        <w:rPr>
          <w:rFonts w:ascii="Arial" w:eastAsia="Times New Roman" w:hAnsi="Arial" w:cs="Arial"/>
          <w:lang w:eastAsia="es-ES"/>
        </w:rPr>
        <w:t>A su turno, el Decreto 760 de 2005 de la Comisión Nacional del Servicio Civil (CNSC) establece en los citados artículos:</w:t>
      </w:r>
    </w:p>
    <w:p w14:paraId="09E2CA66" w14:textId="77777777" w:rsidR="00A46BE2" w:rsidRDefault="00A46BE2" w:rsidP="00A46BE2">
      <w:pPr>
        <w:autoSpaceDE w:val="0"/>
        <w:autoSpaceDN w:val="0"/>
        <w:adjustRightInd w:val="0"/>
        <w:spacing w:line="240" w:lineRule="auto"/>
        <w:ind w:left="567"/>
        <w:jc w:val="both"/>
        <w:rPr>
          <w:rFonts w:ascii="Arial" w:eastAsiaTheme="minorHAnsi" w:hAnsi="Arial" w:cs="Arial"/>
          <w:i/>
          <w:sz w:val="20"/>
        </w:rPr>
      </w:pPr>
      <w:r w:rsidRPr="00E04D66">
        <w:rPr>
          <w:rFonts w:ascii="Arial" w:hAnsi="Arial" w:cs="Arial"/>
          <w:b/>
          <w:bCs/>
          <w:i/>
          <w:sz w:val="20"/>
        </w:rPr>
        <w:t>“ARTÍCULO 35.</w:t>
      </w:r>
      <w:r>
        <w:rPr>
          <w:rFonts w:ascii="Arial" w:hAnsi="Arial" w:cs="Arial"/>
          <w:i/>
          <w:sz w:val="20"/>
        </w:rPr>
        <w:t xml:space="preserve"> Contra la calificación definitiva expresa o presunta podrá interponerse el recurso de reposición ante el evaluador y el de apelación para ante el inmediato superior de este, cuando considerare que se produjo con violación de las normas legales o reglamentarias que la regulan.</w:t>
      </w:r>
    </w:p>
    <w:p w14:paraId="5C7B620D" w14:textId="77777777" w:rsidR="00A46BE2" w:rsidRDefault="00A46BE2" w:rsidP="00A46BE2">
      <w:pPr>
        <w:autoSpaceDE w:val="0"/>
        <w:autoSpaceDN w:val="0"/>
        <w:adjustRightInd w:val="0"/>
        <w:spacing w:line="240" w:lineRule="auto"/>
        <w:ind w:left="567"/>
        <w:jc w:val="both"/>
        <w:rPr>
          <w:rFonts w:ascii="Arial" w:hAnsi="Arial" w:cs="Arial"/>
          <w:i/>
          <w:sz w:val="20"/>
        </w:rPr>
      </w:pPr>
      <w:r>
        <w:rPr>
          <w:rFonts w:ascii="Arial" w:hAnsi="Arial" w:cs="Arial"/>
          <w:i/>
          <w:sz w:val="20"/>
        </w:rPr>
        <w:t>Los recursos se presentarán personalmente ante el evaluador por escrito y sustentados en la diligencia de notificación personal o dentro de los cinco (5) días siguientes a ella.</w:t>
      </w:r>
    </w:p>
    <w:p w14:paraId="046D7301" w14:textId="77777777" w:rsidR="00A46BE2" w:rsidRDefault="00A46BE2" w:rsidP="00A46BE2">
      <w:pPr>
        <w:autoSpaceDE w:val="0"/>
        <w:autoSpaceDN w:val="0"/>
        <w:adjustRightInd w:val="0"/>
        <w:spacing w:line="240" w:lineRule="auto"/>
        <w:ind w:left="567"/>
        <w:jc w:val="both"/>
        <w:rPr>
          <w:rFonts w:ascii="Arial" w:hAnsi="Arial" w:cs="Arial"/>
          <w:i/>
          <w:sz w:val="20"/>
        </w:rPr>
      </w:pPr>
      <w:r>
        <w:rPr>
          <w:rFonts w:ascii="Arial" w:hAnsi="Arial" w:cs="Arial"/>
          <w:i/>
          <w:sz w:val="20"/>
        </w:rPr>
        <w:t>En el trámite y decisión de los recursos se aplicará lo dispuesto en el Código Contencioso Administrativo.</w:t>
      </w:r>
    </w:p>
    <w:p w14:paraId="75E19E83" w14:textId="77777777" w:rsidR="00A46BE2" w:rsidRDefault="00A46BE2" w:rsidP="00A46BE2">
      <w:pPr>
        <w:autoSpaceDE w:val="0"/>
        <w:autoSpaceDN w:val="0"/>
        <w:adjustRightInd w:val="0"/>
        <w:spacing w:line="240" w:lineRule="auto"/>
        <w:ind w:left="567"/>
        <w:jc w:val="both"/>
        <w:rPr>
          <w:rFonts w:ascii="Arial" w:hAnsi="Arial" w:cs="Arial"/>
          <w:i/>
          <w:sz w:val="20"/>
        </w:rPr>
      </w:pPr>
      <w:r w:rsidRPr="00E04D66">
        <w:rPr>
          <w:rFonts w:ascii="Arial" w:hAnsi="Arial" w:cs="Arial"/>
          <w:b/>
          <w:bCs/>
          <w:i/>
          <w:sz w:val="20"/>
        </w:rPr>
        <w:t>ARTÍCULO 36.</w:t>
      </w:r>
      <w:r>
        <w:rPr>
          <w:rFonts w:ascii="Arial" w:hAnsi="Arial" w:cs="Arial"/>
          <w:i/>
          <w:sz w:val="20"/>
        </w:rPr>
        <w:t xml:space="preserve"> Contra las evaluaciones semestrales o parciales expresas o presuntas no procederá recurso alguno”</w:t>
      </w:r>
    </w:p>
    <w:p w14:paraId="6B8B0DC9" w14:textId="77777777" w:rsidR="00A46BE2" w:rsidRDefault="00A46BE2" w:rsidP="00A46BE2">
      <w:pPr>
        <w:autoSpaceDE w:val="0"/>
        <w:autoSpaceDN w:val="0"/>
        <w:adjustRightInd w:val="0"/>
        <w:spacing w:line="240" w:lineRule="auto"/>
        <w:ind w:left="567"/>
        <w:jc w:val="both"/>
        <w:rPr>
          <w:rFonts w:ascii="Arial" w:hAnsi="Arial" w:cs="Arial"/>
          <w:i/>
          <w:sz w:val="20"/>
        </w:rPr>
      </w:pPr>
      <w:r w:rsidRPr="00E04D66">
        <w:rPr>
          <w:rFonts w:ascii="Arial" w:hAnsi="Arial" w:cs="Arial"/>
          <w:b/>
          <w:bCs/>
          <w:i/>
          <w:sz w:val="20"/>
        </w:rPr>
        <w:t>ARTÍCULO 37.</w:t>
      </w:r>
      <w:r>
        <w:rPr>
          <w:rFonts w:ascii="Arial" w:hAnsi="Arial" w:cs="Arial"/>
          <w:i/>
          <w:sz w:val="20"/>
        </w:rPr>
        <w:t xml:space="preserve"> Ejecutoriada la calificación definitiva, el evaluador al día siguiente remitirá el respectivo expediente al </w:t>
      </w:r>
      <w:proofErr w:type="gramStart"/>
      <w:r>
        <w:rPr>
          <w:rFonts w:ascii="Arial" w:hAnsi="Arial" w:cs="Arial"/>
          <w:i/>
          <w:sz w:val="20"/>
        </w:rPr>
        <w:t>Jefe</w:t>
      </w:r>
      <w:proofErr w:type="gramEnd"/>
      <w:r>
        <w:rPr>
          <w:rFonts w:ascii="Arial" w:hAnsi="Arial" w:cs="Arial"/>
          <w:i/>
          <w:sz w:val="20"/>
        </w:rPr>
        <w:t xml:space="preserve"> de la Unidad de Personal o a quien haga sus veces.</w:t>
      </w:r>
      <w:bookmarkStart w:id="0" w:name="_GoBack"/>
      <w:bookmarkEnd w:id="0"/>
    </w:p>
    <w:p w14:paraId="509CBE25" w14:textId="77777777" w:rsidR="00A46BE2" w:rsidRDefault="00A46BE2" w:rsidP="00A46BE2">
      <w:pPr>
        <w:autoSpaceDE w:val="0"/>
        <w:autoSpaceDN w:val="0"/>
        <w:adjustRightInd w:val="0"/>
        <w:spacing w:line="240" w:lineRule="auto"/>
        <w:ind w:left="567"/>
        <w:jc w:val="both"/>
        <w:rPr>
          <w:rFonts w:ascii="Arial" w:hAnsi="Arial" w:cs="Arial"/>
          <w:i/>
          <w:sz w:val="20"/>
        </w:rPr>
      </w:pPr>
      <w:r>
        <w:rPr>
          <w:rFonts w:ascii="Arial" w:hAnsi="Arial" w:cs="Arial"/>
          <w:i/>
          <w:sz w:val="20"/>
        </w:rPr>
        <w:t>Si la calificación del empleado de carrera es insatisfactoria, el jefe de la unidad de personal al día siguiente proyectará para la firma del jefe de la entidad el acto administrativo que declare insubsistente el nombramiento, el cual deberá expedirse en un término no superior a tres (3) días, salvo lo establecido en el numeral 3 del artículo 51 de la Ley 909 de 2004.</w:t>
      </w:r>
    </w:p>
    <w:p w14:paraId="28378176" w14:textId="77777777" w:rsidR="00A46BE2" w:rsidRDefault="00A46BE2" w:rsidP="00A46BE2">
      <w:pPr>
        <w:autoSpaceDE w:val="0"/>
        <w:autoSpaceDN w:val="0"/>
        <w:adjustRightInd w:val="0"/>
        <w:spacing w:line="240" w:lineRule="auto"/>
        <w:ind w:left="567"/>
        <w:jc w:val="both"/>
        <w:rPr>
          <w:rFonts w:ascii="Arial" w:hAnsi="Arial" w:cs="Arial"/>
          <w:i/>
          <w:sz w:val="20"/>
        </w:rPr>
      </w:pPr>
      <w:r>
        <w:rPr>
          <w:rFonts w:ascii="Arial" w:hAnsi="Arial" w:cs="Arial"/>
          <w:i/>
          <w:sz w:val="20"/>
        </w:rPr>
        <w:lastRenderedPageBreak/>
        <w:t>El acto administrativo que declare insubsistente el nombramiento del empleado en período de prueba se notificará y contra él procede el recurso de reposición, en los términos del Código Contencioso Administrativo.”</w:t>
      </w:r>
    </w:p>
    <w:p w14:paraId="746E548B" w14:textId="77777777" w:rsidR="00A46BE2" w:rsidRDefault="00A46BE2" w:rsidP="00A46BE2">
      <w:pPr>
        <w:spacing w:before="100" w:beforeAutospacing="1" w:line="240" w:lineRule="auto"/>
        <w:jc w:val="both"/>
        <w:rPr>
          <w:rFonts w:ascii="Arial" w:hAnsi="Arial" w:cs="Arial"/>
          <w:iCs/>
        </w:rPr>
      </w:pPr>
      <w:r w:rsidRPr="004F6FA5">
        <w:rPr>
          <w:rFonts w:ascii="Arial" w:eastAsia="Times New Roman" w:hAnsi="Arial" w:cs="Arial"/>
          <w:bCs/>
          <w:lang w:eastAsia="es-ES"/>
        </w:rPr>
        <w:t>A la luz de</w:t>
      </w:r>
      <w:r w:rsidRPr="00CA6873">
        <w:rPr>
          <w:rFonts w:ascii="Arial" w:eastAsia="Times New Roman" w:hAnsi="Arial" w:cs="Arial"/>
          <w:bCs/>
          <w:lang w:eastAsia="es-ES"/>
        </w:rPr>
        <w:t xml:space="preserve"> l</w:t>
      </w:r>
      <w:r w:rsidRPr="004F6FA5">
        <w:rPr>
          <w:rFonts w:ascii="Arial" w:eastAsia="Times New Roman" w:hAnsi="Arial" w:cs="Arial"/>
          <w:bCs/>
          <w:lang w:eastAsia="es-ES"/>
        </w:rPr>
        <w:t xml:space="preserve">o expuesto, </w:t>
      </w:r>
      <w:r w:rsidRPr="00CA6873">
        <w:rPr>
          <w:rFonts w:ascii="Arial" w:eastAsia="Times New Roman" w:hAnsi="Arial" w:cs="Arial"/>
          <w:bCs/>
          <w:lang w:eastAsia="es-ES"/>
        </w:rPr>
        <w:t>se puede concluir que</w:t>
      </w:r>
      <w:r w:rsidRPr="004F6FA5">
        <w:rPr>
          <w:rFonts w:ascii="Arial" w:hAnsi="Arial" w:cs="Arial"/>
          <w:iCs/>
        </w:rPr>
        <w:t xml:space="preserve"> </w:t>
      </w:r>
      <w:r w:rsidRPr="00CA6873">
        <w:rPr>
          <w:rFonts w:ascii="Arial" w:hAnsi="Arial" w:cs="Arial"/>
          <w:iCs/>
        </w:rPr>
        <w:t>los e</w:t>
      </w:r>
      <w:r w:rsidRPr="004F6FA5">
        <w:rPr>
          <w:rFonts w:ascii="Arial" w:hAnsi="Arial" w:cs="Arial"/>
          <w:iCs/>
        </w:rPr>
        <w:t xml:space="preserve">mpleados </w:t>
      </w:r>
      <w:r w:rsidRPr="00CA6873">
        <w:rPr>
          <w:rFonts w:ascii="Arial" w:hAnsi="Arial" w:cs="Arial"/>
          <w:iCs/>
        </w:rPr>
        <w:t>p</w:t>
      </w:r>
      <w:r w:rsidRPr="004F6FA5">
        <w:rPr>
          <w:rFonts w:ascii="Arial" w:hAnsi="Arial" w:cs="Arial"/>
          <w:iCs/>
        </w:rPr>
        <w:t xml:space="preserve">úblicos de </w:t>
      </w:r>
      <w:r w:rsidRPr="00CA6873">
        <w:rPr>
          <w:rFonts w:ascii="Arial" w:hAnsi="Arial" w:cs="Arial"/>
          <w:iCs/>
        </w:rPr>
        <w:t>c</w:t>
      </w:r>
      <w:r w:rsidRPr="004F6FA5">
        <w:rPr>
          <w:rFonts w:ascii="Arial" w:hAnsi="Arial" w:cs="Arial"/>
          <w:iCs/>
        </w:rPr>
        <w:t xml:space="preserve">arrera </w:t>
      </w:r>
      <w:r w:rsidRPr="00CA6873">
        <w:rPr>
          <w:rFonts w:ascii="Arial" w:hAnsi="Arial" w:cs="Arial"/>
          <w:iCs/>
        </w:rPr>
        <w:t>a</w:t>
      </w:r>
      <w:r w:rsidRPr="004F6FA5">
        <w:rPr>
          <w:rFonts w:ascii="Arial" w:hAnsi="Arial" w:cs="Arial"/>
          <w:iCs/>
        </w:rPr>
        <w:t xml:space="preserve">dministrativa y en </w:t>
      </w:r>
      <w:r w:rsidRPr="00CA6873">
        <w:rPr>
          <w:rFonts w:ascii="Arial" w:hAnsi="Arial" w:cs="Arial"/>
          <w:iCs/>
        </w:rPr>
        <w:t>p</w:t>
      </w:r>
      <w:r w:rsidRPr="004F6FA5">
        <w:rPr>
          <w:rFonts w:ascii="Arial" w:hAnsi="Arial" w:cs="Arial"/>
          <w:iCs/>
        </w:rPr>
        <w:t xml:space="preserve">eríodo de </w:t>
      </w:r>
      <w:r w:rsidRPr="00CA6873">
        <w:rPr>
          <w:rFonts w:ascii="Arial" w:hAnsi="Arial" w:cs="Arial"/>
          <w:iCs/>
        </w:rPr>
        <w:t>p</w:t>
      </w:r>
      <w:r w:rsidRPr="004F6FA5">
        <w:rPr>
          <w:rFonts w:ascii="Arial" w:hAnsi="Arial" w:cs="Arial"/>
          <w:iCs/>
        </w:rPr>
        <w:t>rueba</w:t>
      </w:r>
      <w:r w:rsidRPr="00CA6873">
        <w:rPr>
          <w:rFonts w:ascii="Arial" w:hAnsi="Arial" w:cs="Arial"/>
          <w:iCs/>
        </w:rPr>
        <w:t xml:space="preserve"> del ICBF cuentan</w:t>
      </w:r>
      <w:r>
        <w:rPr>
          <w:rFonts w:ascii="Arial" w:hAnsi="Arial" w:cs="Arial"/>
          <w:iCs/>
        </w:rPr>
        <w:t xml:space="preserve"> tanto</w:t>
      </w:r>
      <w:r w:rsidRPr="00CA6873">
        <w:rPr>
          <w:rFonts w:ascii="Arial" w:hAnsi="Arial" w:cs="Arial"/>
          <w:iCs/>
        </w:rPr>
        <w:t xml:space="preserve"> con el recurso de reposición </w:t>
      </w:r>
      <w:r>
        <w:rPr>
          <w:rFonts w:ascii="Arial" w:hAnsi="Arial" w:cs="Arial"/>
          <w:iCs/>
        </w:rPr>
        <w:t xml:space="preserve">como el </w:t>
      </w:r>
      <w:r w:rsidRPr="00CA6873">
        <w:rPr>
          <w:rFonts w:ascii="Arial" w:hAnsi="Arial" w:cs="Arial"/>
          <w:iCs/>
        </w:rPr>
        <w:t xml:space="preserve">de apelación para </w:t>
      </w:r>
      <w:r w:rsidRPr="00CA6873">
        <w:rPr>
          <w:rFonts w:ascii="Arial" w:eastAsia="Times New Roman" w:hAnsi="Arial" w:cs="Arial"/>
          <w:bCs/>
          <w:lang w:eastAsia="es-ES"/>
        </w:rPr>
        <w:t>solicitar a la administración la revisión y modificación</w:t>
      </w:r>
      <w:r w:rsidRPr="00CA6873">
        <w:rPr>
          <w:rFonts w:ascii="Arial" w:hAnsi="Arial" w:cs="Arial"/>
          <w:iCs/>
        </w:rPr>
        <w:t xml:space="preserve"> de </w:t>
      </w:r>
      <w:r w:rsidRPr="00CA6873">
        <w:rPr>
          <w:rFonts w:ascii="Arial" w:eastAsia="Times New Roman" w:hAnsi="Arial" w:cs="Arial"/>
          <w:bCs/>
          <w:lang w:eastAsia="es-ES"/>
        </w:rPr>
        <w:t>la calificación definitiva</w:t>
      </w:r>
      <w:r w:rsidRPr="00792364">
        <w:rPr>
          <w:rFonts w:ascii="Arial" w:eastAsia="Times New Roman" w:hAnsi="Arial" w:cs="Arial"/>
          <w:bCs/>
          <w:lang w:eastAsia="es-ES"/>
        </w:rPr>
        <w:t xml:space="preserve"> </w:t>
      </w:r>
      <w:r w:rsidRPr="00792364">
        <w:rPr>
          <w:rFonts w:ascii="Arial" w:hAnsi="Arial" w:cs="Arial"/>
          <w:iCs/>
        </w:rPr>
        <w:t xml:space="preserve">de desempeño laboral anual. </w:t>
      </w:r>
      <w:r>
        <w:rPr>
          <w:rFonts w:ascii="Arial" w:hAnsi="Arial" w:cs="Arial"/>
          <w:iCs/>
        </w:rPr>
        <w:t>Es de resaltar que los funcionarios del Estado del Instituto podrán interponer: (i) de manera independiente el recurso de reposición o el de apelación o, (</w:t>
      </w:r>
      <w:proofErr w:type="spellStart"/>
      <w:r>
        <w:rPr>
          <w:rFonts w:ascii="Arial" w:hAnsi="Arial" w:cs="Arial"/>
          <w:iCs/>
        </w:rPr>
        <w:t>ii</w:t>
      </w:r>
      <w:proofErr w:type="spellEnd"/>
      <w:r>
        <w:rPr>
          <w:rFonts w:ascii="Arial" w:hAnsi="Arial" w:cs="Arial"/>
          <w:iCs/>
        </w:rPr>
        <w:t>) de manera conjunta el recurso de reposición y subsidiariamente el de apelación.</w:t>
      </w:r>
    </w:p>
    <w:p w14:paraId="47AE600B" w14:textId="77777777" w:rsidR="00A46BE2" w:rsidRDefault="00A46BE2" w:rsidP="00A46BE2">
      <w:pPr>
        <w:spacing w:before="100" w:beforeAutospacing="1" w:line="240" w:lineRule="auto"/>
        <w:jc w:val="both"/>
        <w:rPr>
          <w:rFonts w:ascii="Arial" w:eastAsia="Times New Roman" w:hAnsi="Arial" w:cs="Arial"/>
          <w:lang w:eastAsia="es-ES"/>
        </w:rPr>
      </w:pPr>
      <w:r>
        <w:rPr>
          <w:rFonts w:ascii="Arial" w:eastAsia="Times New Roman" w:hAnsi="Arial" w:cs="Arial"/>
          <w:lang w:eastAsia="es-ES"/>
        </w:rPr>
        <w:t xml:space="preserve">En ese sentido, se puede concluir que si el </w:t>
      </w:r>
      <w:proofErr w:type="gramStart"/>
      <w:r>
        <w:rPr>
          <w:rFonts w:ascii="Arial" w:eastAsia="Times New Roman" w:hAnsi="Arial" w:cs="Arial"/>
          <w:lang w:eastAsia="es-ES"/>
        </w:rPr>
        <w:t>afectado estima</w:t>
      </w:r>
      <w:proofErr w:type="gramEnd"/>
      <w:r>
        <w:rPr>
          <w:rFonts w:ascii="Arial" w:eastAsia="Times New Roman" w:hAnsi="Arial" w:cs="Arial"/>
          <w:lang w:eastAsia="es-ES"/>
        </w:rPr>
        <w:t xml:space="preserve"> que es innecesaria la reposición nada impide que prescinda de ella y directamente apele. Es facultativo del afectado determinar si presenta uno u otro recurso o los dos. Lo anterior, teniendo en cuenta que la ley no impide que se pueda tomar cualquiera de las opciones descritas, ni es causal de rechazo del recurso de apelación no haber agotado el recurso de reposición.</w:t>
      </w:r>
    </w:p>
    <w:p w14:paraId="07A7501B" w14:textId="77777777" w:rsidR="00A46BE2" w:rsidRDefault="00A46BE2" w:rsidP="00A46BE2">
      <w:pPr>
        <w:spacing w:before="100" w:beforeAutospacing="1" w:line="240" w:lineRule="auto"/>
        <w:jc w:val="both"/>
        <w:rPr>
          <w:rFonts w:ascii="Arial" w:eastAsia="Times New Roman" w:hAnsi="Arial" w:cs="Arial"/>
          <w:bCs/>
          <w:lang w:eastAsia="es-ES"/>
        </w:rPr>
      </w:pPr>
      <w:r w:rsidRPr="00FF1D33">
        <w:rPr>
          <w:rFonts w:ascii="Arial" w:eastAsia="Times New Roman" w:hAnsi="Arial" w:cs="Arial"/>
          <w:bCs/>
          <w:lang w:eastAsia="es-ES"/>
        </w:rPr>
        <w:t>Aclarado lo anterior, se procede entonces analizar los dos recursos ordinarios mencionados.</w:t>
      </w:r>
      <w:r w:rsidRPr="00CA6873">
        <w:rPr>
          <w:rFonts w:ascii="Arial" w:eastAsia="Times New Roman" w:hAnsi="Arial" w:cs="Arial"/>
          <w:bCs/>
          <w:lang w:eastAsia="es-ES"/>
        </w:rPr>
        <w:t xml:space="preserve"> </w:t>
      </w:r>
    </w:p>
    <w:p w14:paraId="38B8C193" w14:textId="77777777" w:rsidR="00A46BE2" w:rsidRPr="00817B31" w:rsidRDefault="00A46BE2" w:rsidP="00A46BE2">
      <w:pPr>
        <w:spacing w:before="100" w:beforeAutospacing="1" w:line="240" w:lineRule="auto"/>
        <w:jc w:val="both"/>
        <w:rPr>
          <w:rFonts w:ascii="Arial" w:eastAsia="Times New Roman" w:hAnsi="Arial" w:cs="Arial"/>
          <w:lang w:eastAsia="es-ES"/>
        </w:rPr>
      </w:pPr>
      <w:r>
        <w:rPr>
          <w:rFonts w:ascii="Arial" w:eastAsia="Times New Roman" w:hAnsi="Arial" w:cs="Arial"/>
          <w:b/>
          <w:bCs/>
          <w:u w:val="single"/>
          <w:lang w:eastAsia="es-ES"/>
        </w:rPr>
        <w:t xml:space="preserve">2.1. </w:t>
      </w:r>
      <w:r w:rsidRPr="00817B31">
        <w:rPr>
          <w:rFonts w:ascii="Arial" w:eastAsia="Times New Roman" w:hAnsi="Arial" w:cs="Arial"/>
          <w:b/>
          <w:bCs/>
          <w:u w:val="single"/>
          <w:lang w:eastAsia="es-ES"/>
        </w:rPr>
        <w:t xml:space="preserve">Recurso de reposición </w:t>
      </w:r>
    </w:p>
    <w:p w14:paraId="22E6ECDC" w14:textId="77777777" w:rsidR="00A46BE2" w:rsidRPr="00F62886" w:rsidRDefault="00A46BE2" w:rsidP="00A46BE2">
      <w:pPr>
        <w:spacing w:line="240" w:lineRule="auto"/>
        <w:jc w:val="both"/>
        <w:rPr>
          <w:rFonts w:ascii="Arial" w:eastAsia="Times New Roman" w:hAnsi="Arial" w:cs="Arial"/>
          <w:lang w:eastAsia="es-ES"/>
        </w:rPr>
      </w:pPr>
      <w:r>
        <w:rPr>
          <w:rFonts w:ascii="Arial" w:eastAsia="Times New Roman" w:hAnsi="Arial" w:cs="Arial"/>
          <w:lang w:eastAsia="es-ES"/>
        </w:rPr>
        <w:t>El recurso de reposición es aquel mediante el cual se busca que la misma autoridad que emitió el acto administrativo o la providencia impugnada, la revoque, modifique o corrija. Para ello, quien interpone el recurso debe declarar de manera explícita los motivos de inconformidad, o las razones por las cuales considera que quien emitió el acto administrativo incurrió en algún yerro. Así, “este recurso busca que el mismo funcionario que profirió la decisión sea el que vuelva sobre ella y, si es del caso, reconsiderarla, en forma total o parcial”</w:t>
      </w:r>
      <w:r>
        <w:rPr>
          <w:rStyle w:val="Refdenotaalpie"/>
          <w:rFonts w:ascii="Arial" w:eastAsia="Times New Roman" w:hAnsi="Arial" w:cs="Arial"/>
          <w:lang w:eastAsia="es-ES"/>
        </w:rPr>
        <w:footnoteReference w:id="2"/>
      </w:r>
      <w:r>
        <w:rPr>
          <w:rFonts w:ascii="Arial" w:eastAsia="Times New Roman" w:hAnsi="Arial" w:cs="Arial"/>
          <w:lang w:eastAsia="es-ES"/>
        </w:rPr>
        <w:t xml:space="preserve">.  </w:t>
      </w:r>
    </w:p>
    <w:p w14:paraId="10198034" w14:textId="77777777" w:rsidR="00A46BE2" w:rsidRDefault="00A46BE2" w:rsidP="00A46BE2">
      <w:pPr>
        <w:spacing w:line="240" w:lineRule="auto"/>
        <w:jc w:val="both"/>
        <w:rPr>
          <w:rFonts w:ascii="Arial" w:eastAsia="Times New Roman" w:hAnsi="Arial" w:cs="Arial"/>
          <w:lang w:eastAsia="es-ES"/>
        </w:rPr>
      </w:pPr>
      <w:r>
        <w:rPr>
          <w:rFonts w:ascii="Arial" w:eastAsia="Times New Roman" w:hAnsi="Arial" w:cs="Arial"/>
          <w:lang w:eastAsia="es-ES"/>
        </w:rPr>
        <w:t xml:space="preserve">Con base en los argumentos presentados por el recurrente, la autoridad ante quien se interpone el recurso deberá estudiar los argumentos para resolverla y tomar una decisión. Es decir, si encuentra que al recurrente le asiste la razón, procederá a corregir, revocar o reponer su decisión, y en caso contrario, debe confirmar lo decidido en el acto o providencia recurrida </w:t>
      </w:r>
    </w:p>
    <w:p w14:paraId="3D57FAEC" w14:textId="77777777" w:rsidR="00A46BE2" w:rsidRDefault="00A46BE2" w:rsidP="00A46BE2">
      <w:pPr>
        <w:spacing w:before="100" w:beforeAutospacing="1" w:line="240" w:lineRule="auto"/>
        <w:jc w:val="both"/>
        <w:rPr>
          <w:rFonts w:ascii="Arial" w:eastAsia="Times New Roman" w:hAnsi="Arial" w:cs="Arial"/>
          <w:lang w:eastAsia="es-ES"/>
        </w:rPr>
      </w:pPr>
      <w:r>
        <w:rPr>
          <w:rFonts w:ascii="Arial" w:eastAsia="Times New Roman" w:hAnsi="Arial" w:cs="Arial"/>
          <w:lang w:eastAsia="es-ES"/>
        </w:rPr>
        <w:t>Con base en lo expuesto, el recurso de reposición es procedente contra la calificación definitiva expresa o presunta y deberá interponerse ante el funcionario que emitió la decisión en forma escrita, en los términos del artículo 76 del Código de Procedimiento Administrativo y de lo Contencioso Administrativo C.P.A.C.A.</w:t>
      </w:r>
    </w:p>
    <w:p w14:paraId="7341F3C4" w14:textId="77777777" w:rsidR="00A46BE2" w:rsidRPr="00CF5E88" w:rsidRDefault="00A46BE2" w:rsidP="00A46BE2">
      <w:pPr>
        <w:spacing w:before="100" w:beforeAutospacing="1" w:line="240" w:lineRule="auto"/>
        <w:jc w:val="both"/>
        <w:rPr>
          <w:rFonts w:ascii="Arial" w:eastAsia="Times New Roman" w:hAnsi="Arial" w:cs="Arial"/>
          <w:b/>
          <w:bCs/>
          <w:u w:val="single"/>
          <w:lang w:eastAsia="es-ES"/>
        </w:rPr>
      </w:pPr>
      <w:r>
        <w:rPr>
          <w:rFonts w:ascii="Arial" w:eastAsia="Times New Roman" w:hAnsi="Arial" w:cs="Arial"/>
          <w:b/>
          <w:bCs/>
          <w:u w:val="single"/>
          <w:lang w:eastAsia="es-ES"/>
        </w:rPr>
        <w:t xml:space="preserve">2.2. </w:t>
      </w:r>
      <w:r w:rsidRPr="00CF5E88">
        <w:rPr>
          <w:rFonts w:ascii="Arial" w:eastAsia="Times New Roman" w:hAnsi="Arial" w:cs="Arial"/>
          <w:b/>
          <w:bCs/>
          <w:u w:val="single"/>
          <w:lang w:eastAsia="es-ES"/>
        </w:rPr>
        <w:t xml:space="preserve">Recurso de apelación </w:t>
      </w:r>
    </w:p>
    <w:p w14:paraId="4431A3B5" w14:textId="77777777" w:rsidR="00A46BE2" w:rsidRDefault="00A46BE2" w:rsidP="00A46BE2">
      <w:pPr>
        <w:spacing w:line="240" w:lineRule="auto"/>
        <w:jc w:val="both"/>
        <w:rPr>
          <w:rFonts w:ascii="Arial" w:eastAsia="Times New Roman" w:hAnsi="Arial" w:cs="Arial"/>
          <w:lang w:eastAsia="es-ES"/>
        </w:rPr>
      </w:pPr>
      <w:r>
        <w:rPr>
          <w:rFonts w:ascii="Arial" w:eastAsia="Times New Roman" w:hAnsi="Arial" w:cs="Arial"/>
          <w:lang w:eastAsia="es-ES"/>
        </w:rPr>
        <w:lastRenderedPageBreak/>
        <w:t xml:space="preserve">El recurso de apelación consiste en la solicitud que eleva el recurrente ante el superior de quien emitió el acto administrativo o la providencia, para que lo revise, lo modifique o revoque. Este, al igual que el recurso de reposición, debe ser sustentado en los motivos o razones que el recurrente considera que la autoridad que emitió el acto administrativo erró o no tuvo en cuenta y que son importantes para la toma de la decisión final. Concretamente, se ha considerado que el recurso de apelación: </w:t>
      </w:r>
    </w:p>
    <w:p w14:paraId="3F623A2F" w14:textId="77777777" w:rsidR="00A46BE2" w:rsidRDefault="00A46BE2" w:rsidP="00A46BE2">
      <w:pPr>
        <w:spacing w:line="240" w:lineRule="auto"/>
        <w:ind w:left="720"/>
        <w:jc w:val="both"/>
        <w:rPr>
          <w:rFonts w:ascii="Arial" w:eastAsia="Times New Roman" w:hAnsi="Arial" w:cs="Arial"/>
          <w:lang w:eastAsia="es-ES"/>
        </w:rPr>
      </w:pPr>
      <w:r>
        <w:rPr>
          <w:rFonts w:ascii="Arial" w:eastAsia="Times New Roman" w:hAnsi="Arial" w:cs="Arial"/>
          <w:lang w:eastAsia="es-ES"/>
        </w:rPr>
        <w:t>“[E]s el que sirve más efectivamente para remediar los errores judiciales, pues, a diferencia de la reposición donde decide la misma persona, siendo lo usual que tienda a mantener su opinión, lo resuelve otro funcionario de mayor categoría, en quien se supone mayor experiencia y versación en la ciencia jurídica. Además, el juez que dictó la [decisión] apelada debe cumplir obligatoriamente lo decidido por el superior”</w:t>
      </w:r>
      <w:r>
        <w:rPr>
          <w:rStyle w:val="Refdenotaalpie"/>
          <w:rFonts w:ascii="Arial" w:eastAsia="Times New Roman" w:hAnsi="Arial" w:cs="Arial"/>
          <w:lang w:eastAsia="es-ES"/>
        </w:rPr>
        <w:footnoteReference w:id="3"/>
      </w:r>
      <w:r>
        <w:rPr>
          <w:rFonts w:ascii="Arial" w:eastAsia="Times New Roman" w:hAnsi="Arial" w:cs="Arial"/>
          <w:lang w:eastAsia="es-ES"/>
        </w:rPr>
        <w:t xml:space="preserve">. </w:t>
      </w:r>
    </w:p>
    <w:p w14:paraId="365EF856" w14:textId="77777777" w:rsidR="00A46BE2" w:rsidRDefault="00A46BE2" w:rsidP="00A46BE2">
      <w:pPr>
        <w:spacing w:line="240" w:lineRule="auto"/>
        <w:jc w:val="both"/>
        <w:rPr>
          <w:rFonts w:ascii="Arial" w:eastAsia="Times New Roman" w:hAnsi="Arial" w:cs="Arial"/>
          <w:lang w:eastAsia="es-ES"/>
        </w:rPr>
      </w:pPr>
      <w:r>
        <w:rPr>
          <w:rFonts w:ascii="Arial" w:eastAsia="Times New Roman" w:hAnsi="Arial" w:cs="Arial"/>
          <w:lang w:eastAsia="es-ES"/>
        </w:rPr>
        <w:t>El artículo 35 del Decreto Ley 760 de 2005 señala que el recurso de apelación es procedente contra la calificación definitiva expresa o presunta y debe interponerse ante la autoridad que emitió el acto administrativo o la providencia objeto del recurso, quien dará el trámite correspondiente ante su superior.</w:t>
      </w:r>
    </w:p>
    <w:p w14:paraId="7469DE38" w14:textId="77777777" w:rsidR="00A46BE2" w:rsidRPr="00D608E2" w:rsidRDefault="00A46BE2" w:rsidP="00A46BE2">
      <w:pPr>
        <w:jc w:val="both"/>
        <w:rPr>
          <w:rFonts w:ascii="Arial" w:hAnsi="Arial" w:cs="Arial"/>
          <w:lang w:eastAsia="es-ES"/>
        </w:rPr>
      </w:pPr>
      <w:r>
        <w:rPr>
          <w:rFonts w:ascii="Arial" w:hAnsi="Arial" w:cs="Arial"/>
          <w:b/>
          <w:bCs/>
          <w:u w:val="single"/>
          <w:lang w:eastAsia="es-ES"/>
        </w:rPr>
        <w:t xml:space="preserve">2.2.1. </w:t>
      </w:r>
      <w:r w:rsidRPr="00D608E2">
        <w:rPr>
          <w:rFonts w:ascii="Arial" w:hAnsi="Arial" w:cs="Arial"/>
          <w:b/>
          <w:bCs/>
          <w:u w:val="single"/>
          <w:lang w:eastAsia="es-ES"/>
        </w:rPr>
        <w:t xml:space="preserve">Procedencia del recurso de apelación como subsidiario del de reposición </w:t>
      </w:r>
    </w:p>
    <w:p w14:paraId="1C7F0887" w14:textId="77777777" w:rsidR="00A46BE2" w:rsidRDefault="00A46BE2" w:rsidP="00A46BE2">
      <w:pPr>
        <w:spacing w:line="240" w:lineRule="auto"/>
        <w:jc w:val="both"/>
        <w:rPr>
          <w:rFonts w:ascii="Arial" w:eastAsia="Times New Roman" w:hAnsi="Arial" w:cs="Arial"/>
          <w:lang w:eastAsia="es-ES"/>
        </w:rPr>
      </w:pPr>
      <w:r>
        <w:rPr>
          <w:rFonts w:ascii="Arial" w:eastAsia="Times New Roman" w:hAnsi="Arial" w:cs="Arial"/>
          <w:lang w:eastAsia="es-ES"/>
        </w:rPr>
        <w:t>En el evento en que se presenten los dos recursos, como ya se dijo, el de reposición y el de apelación, el primero se considera principal y el segundo (apelación) será subsidiario. El recurrente deberá expresarlo en su escrito, afirmando que interpone el recurso de reposición y en subsidio el de apelación. De esta manera, el recurso deberá ser conocido y decidido (en primer lugar) por quien emitió el acto administrativo objeto del recurso, y si este no acoge los argumentos del recurrente y confirma su decisión, pasará al superior jerárquico para que decida en segunda instancia sobre el recurso de apelación.</w:t>
      </w:r>
    </w:p>
    <w:p w14:paraId="5076D206" w14:textId="77777777" w:rsidR="00A46BE2" w:rsidRDefault="00A46BE2" w:rsidP="00A46BE2">
      <w:pPr>
        <w:spacing w:line="240" w:lineRule="auto"/>
        <w:jc w:val="both"/>
        <w:rPr>
          <w:rFonts w:ascii="Arial" w:eastAsia="Times New Roman" w:hAnsi="Arial" w:cs="Arial"/>
          <w:lang w:eastAsia="es-ES"/>
        </w:rPr>
      </w:pPr>
      <w:r>
        <w:rPr>
          <w:rFonts w:ascii="Arial" w:eastAsia="Times New Roman" w:hAnsi="Arial" w:cs="Arial"/>
          <w:lang w:eastAsia="es-ES"/>
        </w:rPr>
        <w:t>Cabe resaltar que los dos recursos deben interponerse oportunamente, pues como lo establece la norma deben presentarse dentro de los cinco (05) días hábiles siguientes a la notificación del acto administrativo o la providencia objeto de los recursos.</w:t>
      </w:r>
    </w:p>
    <w:p w14:paraId="796405BF" w14:textId="77777777" w:rsidR="00A46BE2" w:rsidRDefault="00A46BE2" w:rsidP="00A46BE2">
      <w:pPr>
        <w:spacing w:before="100" w:beforeAutospacing="1" w:line="240" w:lineRule="auto"/>
        <w:jc w:val="both"/>
        <w:rPr>
          <w:rFonts w:ascii="Arial" w:eastAsia="Times New Roman" w:hAnsi="Arial" w:cs="Arial"/>
          <w:bCs/>
          <w:lang w:eastAsia="es-ES"/>
        </w:rPr>
      </w:pPr>
      <w:r>
        <w:rPr>
          <w:rFonts w:ascii="Arial" w:eastAsia="Times New Roman" w:hAnsi="Arial" w:cs="Arial"/>
          <w:bCs/>
          <w:lang w:eastAsia="es-ES"/>
        </w:rPr>
        <w:t>Ahora bien, como se ha dicho, el recurso de apelación es de carácter subsidiario. Deberá ser tramitado una vez quien emitió la resolución o el acto administrativo se haya pronunciado frente al recurso de reposición, y este haya decidido confirmar la decisión inicial al menos parcialmente. En caso contrario, es decir, cuando la autoridad administrativa encuentre que los argumentos del recurrente están ajustados a derecho, concluya que le asiste razón, y en consecuencia decida revocar, corregir o modificar el acto administrativo conforme a todo lo solicitado por el recurrente, ya no habrá inconformidad para decidir y, por tanto, no habrá recurso por resolver por parte del superior de quien emitió el primer acto administrativo o providencia.</w:t>
      </w:r>
    </w:p>
    <w:p w14:paraId="0D3D5ADD" w14:textId="77777777" w:rsidR="00A46BE2" w:rsidRDefault="00A46BE2" w:rsidP="00A46BE2">
      <w:pPr>
        <w:spacing w:before="100" w:beforeAutospacing="1" w:line="240" w:lineRule="auto"/>
        <w:jc w:val="both"/>
        <w:rPr>
          <w:rFonts w:ascii="Arial" w:eastAsia="Times New Roman" w:hAnsi="Arial" w:cs="Arial"/>
          <w:b/>
          <w:bCs/>
          <w:u w:val="single"/>
          <w:lang w:eastAsia="es-ES"/>
        </w:rPr>
      </w:pPr>
      <w:r>
        <w:rPr>
          <w:rFonts w:ascii="Arial" w:eastAsia="Times New Roman" w:hAnsi="Arial" w:cs="Arial"/>
          <w:bCs/>
          <w:lang w:eastAsia="es-ES"/>
        </w:rPr>
        <w:lastRenderedPageBreak/>
        <w:t>Por ello, si en sede de reposición se accede a lo pretendido en su totalidad por el recurrente, ya no será procedente el recurso de apelación, pues las pretensiones fueron resueltas a favor del recurrente y ya no habría nada que resolver por parte del superior de quien emitió el acto administrativo inicial.</w:t>
      </w:r>
    </w:p>
    <w:p w14:paraId="05D3881C" w14:textId="77777777" w:rsidR="00A46BE2" w:rsidRPr="0059780F" w:rsidRDefault="00A46BE2" w:rsidP="00A46BE2">
      <w:pPr>
        <w:jc w:val="both"/>
        <w:rPr>
          <w:rFonts w:ascii="Arial" w:eastAsia="Times New Roman" w:hAnsi="Arial" w:cs="Arial"/>
          <w:lang w:eastAsia="es-ES"/>
        </w:rPr>
      </w:pPr>
      <w:r>
        <w:rPr>
          <w:rFonts w:ascii="Arial" w:eastAsia="Times New Roman" w:hAnsi="Arial" w:cs="Arial"/>
          <w:b/>
          <w:bCs/>
          <w:u w:val="single"/>
          <w:lang w:eastAsia="es-ES"/>
        </w:rPr>
        <w:t xml:space="preserve">2.2.2. </w:t>
      </w:r>
      <w:r w:rsidRPr="0059780F">
        <w:rPr>
          <w:rFonts w:ascii="Arial" w:eastAsia="Times New Roman" w:hAnsi="Arial" w:cs="Arial"/>
          <w:b/>
          <w:bCs/>
          <w:u w:val="single"/>
          <w:lang w:eastAsia="es-ES"/>
        </w:rPr>
        <w:t xml:space="preserve">Procedencia frente a la negación del recurso de apelación por la primera instancia </w:t>
      </w:r>
    </w:p>
    <w:p w14:paraId="1F195A03" w14:textId="77777777" w:rsidR="00A46BE2" w:rsidRDefault="00A46BE2" w:rsidP="00A46BE2">
      <w:pPr>
        <w:spacing w:before="100" w:beforeAutospacing="1" w:line="240" w:lineRule="auto"/>
        <w:jc w:val="both"/>
        <w:rPr>
          <w:rFonts w:ascii="Arial" w:eastAsia="Times New Roman" w:hAnsi="Arial" w:cs="Arial"/>
          <w:bCs/>
          <w:lang w:eastAsia="es-ES"/>
        </w:rPr>
      </w:pPr>
      <w:r>
        <w:rPr>
          <w:rFonts w:ascii="Arial" w:eastAsia="Times New Roman" w:hAnsi="Arial" w:cs="Arial"/>
          <w:bCs/>
          <w:lang w:eastAsia="es-ES"/>
        </w:rPr>
        <w:t>Como ya se dijo, si quien emitió el acto administrativo en sede de reposición concede la razón al recurrente en todas sus pretensiones y como consecuencia de ello revoca o modifica su decisión, el recurso de apelación ya no deberá ser tramitado por cuanto este último no tendría objeto.</w:t>
      </w:r>
    </w:p>
    <w:p w14:paraId="2A9EF5A4" w14:textId="77777777" w:rsidR="00A46BE2" w:rsidRDefault="00A46BE2" w:rsidP="00A46BE2">
      <w:pPr>
        <w:spacing w:before="100" w:beforeAutospacing="1" w:line="240" w:lineRule="auto"/>
        <w:jc w:val="both"/>
        <w:rPr>
          <w:rFonts w:ascii="Arial" w:eastAsia="Times New Roman" w:hAnsi="Arial" w:cs="Arial"/>
          <w:bCs/>
          <w:lang w:eastAsia="es-ES"/>
        </w:rPr>
      </w:pPr>
      <w:r>
        <w:rPr>
          <w:rFonts w:ascii="Arial" w:eastAsia="Times New Roman" w:hAnsi="Arial" w:cs="Arial"/>
          <w:bCs/>
          <w:lang w:eastAsia="es-ES"/>
        </w:rPr>
        <w:t>Insistimos en el carácter subsidiario del recurso de apelación. Este implica que, si quien emitió el acto administrativo confirma lo decidido en el acto administrativo inicial, rechaza las pretensiones y/o argumentos del recurrente, o parte de ellas, deberá dar trámite al recurso de apelación para que el superior decida si confirma, revoca o modifica la decisión de primera instancia. Así las cosas, este último se encuentra condicionado a lo que decida el servidor de primera instancia.</w:t>
      </w:r>
    </w:p>
    <w:p w14:paraId="2F42522C" w14:textId="77777777" w:rsidR="00A46BE2" w:rsidRDefault="00A46BE2" w:rsidP="00A46BE2">
      <w:pPr>
        <w:autoSpaceDE w:val="0"/>
        <w:autoSpaceDN w:val="0"/>
        <w:adjustRightInd w:val="0"/>
        <w:spacing w:line="240" w:lineRule="auto"/>
        <w:jc w:val="both"/>
        <w:rPr>
          <w:rFonts w:ascii="Arial" w:eastAsiaTheme="minorHAnsi" w:hAnsi="Arial" w:cs="Arial"/>
        </w:rPr>
      </w:pPr>
      <w:r>
        <w:rPr>
          <w:rFonts w:ascii="Arial" w:eastAsia="Times New Roman" w:hAnsi="Arial" w:cs="Arial"/>
          <w:bCs/>
          <w:lang w:eastAsia="es-ES"/>
        </w:rPr>
        <w:t>No hay que olvidar que el recurso de apelación debe presentarse ante quien emitió el acto administrativo, dentro de los cinco (05) días siguientes a la notificación del acto administrativo. En referencia a los trámites y procedimientos, se debe actuar conforme a lo establecido en el artículo 35 del Decreto Ley 760 de 2005 que establece</w:t>
      </w:r>
      <w:r>
        <w:rPr>
          <w:rFonts w:ascii="Arial" w:eastAsia="Times New Roman" w:hAnsi="Arial" w:cs="Arial"/>
          <w:bCs/>
          <w:lang w:val="es-CO" w:eastAsia="es-ES"/>
        </w:rPr>
        <w:t>:</w:t>
      </w:r>
      <w:r>
        <w:rPr>
          <w:rFonts w:ascii="Arial" w:eastAsia="Times New Roman" w:hAnsi="Arial" w:cs="Arial"/>
          <w:bCs/>
          <w:lang w:eastAsia="es-ES"/>
        </w:rPr>
        <w:t xml:space="preserve"> </w:t>
      </w:r>
      <w:r>
        <w:rPr>
          <w:rFonts w:ascii="Arial" w:eastAsia="Times New Roman" w:hAnsi="Arial" w:cs="Arial"/>
          <w:bCs/>
          <w:i/>
          <w:lang w:eastAsia="es-ES"/>
        </w:rPr>
        <w:t>“</w:t>
      </w:r>
      <w:r>
        <w:rPr>
          <w:rFonts w:ascii="Arial" w:hAnsi="Arial" w:cs="Arial"/>
          <w:i/>
        </w:rPr>
        <w:t>En el trámite y decisión de los recursos se aplicará lo dispuesto en el Código Contencioso Administrativo.”</w:t>
      </w:r>
      <w:r>
        <w:rPr>
          <w:rFonts w:ascii="Arial" w:hAnsi="Arial" w:cs="Arial"/>
        </w:rPr>
        <w:t>, por lo que, el recurso en cuestión podrá ser rechazado con base en la Ley 1437 de 2011.</w:t>
      </w:r>
    </w:p>
    <w:p w14:paraId="1E57214D" w14:textId="77777777" w:rsidR="00A46BE2" w:rsidRPr="00A144CC" w:rsidRDefault="00A46BE2" w:rsidP="00A46BE2">
      <w:pPr>
        <w:spacing w:before="100" w:beforeAutospacing="1" w:line="240" w:lineRule="auto"/>
        <w:ind w:left="705"/>
        <w:jc w:val="center"/>
        <w:rPr>
          <w:rFonts w:ascii="Arial" w:eastAsia="Times New Roman" w:hAnsi="Arial" w:cs="Arial"/>
          <w:b/>
          <w:lang w:eastAsia="es-ES"/>
        </w:rPr>
      </w:pPr>
      <w:r>
        <w:rPr>
          <w:rFonts w:ascii="Arial" w:eastAsia="Times New Roman" w:hAnsi="Arial" w:cs="Arial"/>
          <w:b/>
          <w:lang w:eastAsia="es-ES"/>
        </w:rPr>
        <w:t xml:space="preserve">3. </w:t>
      </w:r>
      <w:r w:rsidRPr="00A144CC">
        <w:rPr>
          <w:rFonts w:ascii="Arial" w:eastAsia="Times New Roman" w:hAnsi="Arial" w:cs="Arial"/>
          <w:b/>
          <w:lang w:eastAsia="es-ES"/>
        </w:rPr>
        <w:t>CONCLUSIONES</w:t>
      </w:r>
    </w:p>
    <w:p w14:paraId="0FA54D1C" w14:textId="77777777" w:rsidR="00A46BE2" w:rsidRDefault="00A46BE2" w:rsidP="00A46BE2">
      <w:pPr>
        <w:spacing w:before="100" w:beforeAutospacing="1" w:line="240" w:lineRule="auto"/>
        <w:jc w:val="both"/>
        <w:rPr>
          <w:rFonts w:ascii="Arial" w:eastAsia="Times New Roman" w:hAnsi="Arial" w:cs="Arial"/>
          <w:lang w:eastAsia="es-ES"/>
        </w:rPr>
      </w:pPr>
      <w:r w:rsidRPr="002A3148">
        <w:rPr>
          <w:rFonts w:ascii="Arial" w:eastAsia="Times New Roman" w:hAnsi="Arial" w:cs="Arial"/>
          <w:bCs/>
          <w:lang w:eastAsia="es-ES"/>
        </w:rPr>
        <w:t xml:space="preserve">Atendiendo los elementos de juicio antes mencionados, </w:t>
      </w:r>
      <w:r w:rsidRPr="00963A1F">
        <w:rPr>
          <w:rFonts w:ascii="Arial" w:eastAsia="Times New Roman" w:hAnsi="Arial" w:cs="Arial"/>
          <w:b/>
          <w:bCs/>
          <w:u w:val="single"/>
          <w:lang w:eastAsia="es-ES"/>
        </w:rPr>
        <w:t>se puede concluir</w:t>
      </w:r>
      <w:r w:rsidRPr="002A3148">
        <w:rPr>
          <w:rFonts w:ascii="Arial" w:eastAsia="Times New Roman" w:hAnsi="Arial" w:cs="Arial"/>
          <w:bCs/>
          <w:lang w:eastAsia="es-ES"/>
        </w:rPr>
        <w:t xml:space="preserve"> </w:t>
      </w:r>
      <w:proofErr w:type="gramStart"/>
      <w:r w:rsidRPr="002A3148">
        <w:rPr>
          <w:rFonts w:ascii="Arial" w:eastAsia="Times New Roman" w:hAnsi="Arial" w:cs="Arial"/>
          <w:bCs/>
          <w:lang w:eastAsia="es-ES"/>
        </w:rPr>
        <w:t>que</w:t>
      </w:r>
      <w:proofErr w:type="gramEnd"/>
      <w:r w:rsidRPr="002A3148">
        <w:rPr>
          <w:rFonts w:ascii="Arial" w:eastAsia="Times New Roman" w:hAnsi="Arial" w:cs="Arial"/>
          <w:bCs/>
          <w:lang w:eastAsia="es-ES"/>
        </w:rPr>
        <w:t xml:space="preserve"> si un empleado </w:t>
      </w:r>
      <w:r w:rsidRPr="0062408E">
        <w:rPr>
          <w:rFonts w:ascii="Arial" w:eastAsia="Times New Roman" w:hAnsi="Arial" w:cs="Arial"/>
          <w:lang w:eastAsia="es-ES"/>
        </w:rPr>
        <w:t>público de carrera administrativa del ICBF</w:t>
      </w:r>
      <w:r>
        <w:rPr>
          <w:rFonts w:ascii="Arial" w:eastAsia="Times New Roman" w:hAnsi="Arial" w:cs="Arial"/>
          <w:lang w:eastAsia="es-ES"/>
        </w:rPr>
        <w:t xml:space="preserve"> presenta de manera conjunta el recurso de reposición y el de apelación contra la calificación </w:t>
      </w:r>
      <w:r w:rsidRPr="0062408E">
        <w:rPr>
          <w:rFonts w:ascii="Arial" w:eastAsia="Times New Roman" w:hAnsi="Arial" w:cs="Arial"/>
          <w:lang w:eastAsia="es-ES"/>
        </w:rPr>
        <w:t>del desempeño laboral</w:t>
      </w:r>
      <w:r>
        <w:rPr>
          <w:rFonts w:ascii="Arial" w:eastAsia="Times New Roman" w:hAnsi="Arial" w:cs="Arial"/>
          <w:lang w:eastAsia="es-ES"/>
        </w:rPr>
        <w:t xml:space="preserve"> en los términos del Decreto Ley 760 de 2005, y en sede de reposición se decide a favor del recurrente la totalidad de sus pretensiones, no se deberá dar trámite al recurso de apelación por falta de objeto. Ahora bien, si en sede de reposición la administración decide mantener la posición recurrida en todo o en parte, se deberá remitir el recurso de apelación para que en segunda instancia se pronuncien respecto de las pretensiones del afectado. </w:t>
      </w:r>
    </w:p>
    <w:p w14:paraId="7758DBBB" w14:textId="77777777" w:rsidR="000A4C4B" w:rsidRDefault="00A46BE2" w:rsidP="000A4C4B">
      <w:pPr>
        <w:spacing w:before="100" w:beforeAutospacing="1" w:line="240" w:lineRule="auto"/>
        <w:jc w:val="both"/>
        <w:rPr>
          <w:rFonts w:ascii="Arial" w:eastAsia="Times New Roman" w:hAnsi="Arial" w:cs="Arial"/>
          <w:lang w:eastAsia="es-ES"/>
        </w:rPr>
      </w:pPr>
      <w:r>
        <w:rPr>
          <w:rFonts w:ascii="Arial" w:eastAsia="Times New Roman" w:hAnsi="Arial" w:cs="Arial"/>
          <w:lang w:eastAsia="es-ES"/>
        </w:rPr>
        <w:t xml:space="preserve">De lo expuesto, se concluye que no es necesario dar trámite al recurso de apelación cuando en sede de reposición se </w:t>
      </w:r>
      <w:r w:rsidRPr="0082178A">
        <w:rPr>
          <w:rFonts w:ascii="Arial" w:eastAsia="Times New Roman" w:hAnsi="Arial" w:cs="Arial"/>
          <w:lang w:eastAsia="es-ES"/>
        </w:rPr>
        <w:t>accede a realizar las modificaciones que propone el afectado con la decisión</w:t>
      </w:r>
      <w:r>
        <w:rPr>
          <w:rFonts w:ascii="Arial" w:eastAsia="Times New Roman" w:hAnsi="Arial" w:cs="Arial"/>
          <w:lang w:eastAsia="es-ES"/>
        </w:rPr>
        <w:t>. En efecto, n</w:t>
      </w:r>
      <w:r w:rsidRPr="0082178A">
        <w:rPr>
          <w:rFonts w:ascii="Arial" w:eastAsia="Times New Roman" w:hAnsi="Arial" w:cs="Arial"/>
          <w:lang w:eastAsia="es-ES"/>
        </w:rPr>
        <w:t xml:space="preserve">o tendría sentido que el superior haga lo mismo, </w:t>
      </w:r>
      <w:r w:rsidRPr="0082178A">
        <w:rPr>
          <w:rFonts w:ascii="Arial" w:eastAsia="Times New Roman" w:hAnsi="Arial" w:cs="Arial"/>
          <w:lang w:eastAsia="es-ES"/>
        </w:rPr>
        <w:lastRenderedPageBreak/>
        <w:t>pues el acto administrativo se cambia por decisión de la misma autoridad que lo profiere</w:t>
      </w:r>
      <w:r>
        <w:rPr>
          <w:rFonts w:ascii="Arial" w:eastAsia="Times New Roman" w:hAnsi="Arial" w:cs="Arial"/>
          <w:lang w:eastAsia="es-ES"/>
        </w:rPr>
        <w:t xml:space="preserve"> en atención a las pretensiones del recurrente. </w:t>
      </w:r>
    </w:p>
    <w:p w14:paraId="19BC0E1D" w14:textId="27AF35AD" w:rsidR="00A46BE2" w:rsidRPr="000A4C4B" w:rsidRDefault="000A4C4B" w:rsidP="000A4C4B">
      <w:pPr>
        <w:spacing w:before="100" w:beforeAutospacing="1" w:line="240" w:lineRule="auto"/>
        <w:jc w:val="both"/>
        <w:rPr>
          <w:rFonts w:ascii="Arial" w:eastAsia="Times New Roman" w:hAnsi="Arial" w:cs="Arial"/>
          <w:lang w:eastAsia="es-ES"/>
        </w:rPr>
      </w:pPr>
      <w:r>
        <w:rPr>
          <w:rFonts w:ascii="Arial" w:eastAsia="Times New Roman" w:hAnsi="Arial" w:cs="Arial"/>
          <w:lang w:eastAsia="es-ES"/>
        </w:rPr>
        <w:t>Por último, es de precisar que e</w:t>
      </w:r>
      <w:r w:rsidR="000509D7">
        <w:rPr>
          <w:rFonts w:ascii="Arial" w:hAnsi="Arial" w:cs="Arial"/>
        </w:rPr>
        <w:t>l presente concepto no es de obligatorio cumplimiento o ejecución para particulares o agentes externos, de conformidad con lo establecido en la Ley 1755 de 2015. No obstante lo anterior, tiene carácter vinculante para las dependencias internas del Instituto y terceros que colaboren en la prestación de</w:t>
      </w:r>
      <w:r w:rsidR="00394714">
        <w:rPr>
          <w:rFonts w:ascii="Arial" w:hAnsi="Arial" w:cs="Arial"/>
        </w:rPr>
        <w:t>l</w:t>
      </w:r>
      <w:r w:rsidR="000509D7">
        <w:rPr>
          <w:rFonts w:ascii="Arial" w:hAnsi="Arial" w:cs="Arial"/>
        </w:rPr>
        <w:t xml:space="preserve"> servicio público o en el desarrollo de la función administrativa</w:t>
      </w:r>
      <w:r w:rsidR="008C27E8">
        <w:rPr>
          <w:rFonts w:ascii="Arial" w:hAnsi="Arial" w:cs="Arial"/>
        </w:rPr>
        <w:t xml:space="preserve"> de competencia del ICBF, en virtud de la función asignada a la Oficina Asesora Jurídica de mantener la unidad doctrinaria </w:t>
      </w:r>
      <w:r w:rsidR="00473013">
        <w:rPr>
          <w:rFonts w:ascii="Arial" w:hAnsi="Arial" w:cs="Arial"/>
        </w:rPr>
        <w:t>e impartir las directrices jurídicas necesarias para el desarrollo de las funciones del Instituto, de conformidad con</w:t>
      </w:r>
      <w:r w:rsidR="004918F8">
        <w:rPr>
          <w:rFonts w:ascii="Arial" w:hAnsi="Arial" w:cs="Arial"/>
        </w:rPr>
        <w:t xml:space="preserve"> </w:t>
      </w:r>
      <w:r w:rsidR="00614620">
        <w:rPr>
          <w:rFonts w:ascii="Arial" w:hAnsi="Arial" w:cs="Arial"/>
        </w:rPr>
        <w:t>lo establecido en el</w:t>
      </w:r>
      <w:r w:rsidR="004918F8">
        <w:rPr>
          <w:rFonts w:ascii="Arial" w:hAnsi="Arial" w:cs="Arial"/>
        </w:rPr>
        <w:t xml:space="preserve"> artículo 6</w:t>
      </w:r>
      <w:r w:rsidR="00206D48">
        <w:rPr>
          <w:rFonts w:ascii="Arial" w:hAnsi="Arial" w:cs="Arial"/>
        </w:rPr>
        <w:t>,</w:t>
      </w:r>
      <w:r w:rsidR="004918F8">
        <w:rPr>
          <w:rFonts w:ascii="Arial" w:hAnsi="Arial" w:cs="Arial"/>
        </w:rPr>
        <w:t xml:space="preserve"> n</w:t>
      </w:r>
      <w:r w:rsidR="00473013">
        <w:rPr>
          <w:rFonts w:ascii="Arial" w:hAnsi="Arial" w:cs="Arial"/>
        </w:rPr>
        <w:t xml:space="preserve">umerales 8 y 15 </w:t>
      </w:r>
      <w:r w:rsidR="00206D48">
        <w:rPr>
          <w:rFonts w:ascii="Arial" w:hAnsi="Arial" w:cs="Arial"/>
        </w:rPr>
        <w:t>del Decreto 987 de 2012.</w:t>
      </w:r>
    </w:p>
    <w:p w14:paraId="3844BEB5" w14:textId="77777777" w:rsidR="000509D7" w:rsidRDefault="000509D7" w:rsidP="00A46BE2">
      <w:pPr>
        <w:spacing w:after="0" w:line="254" w:lineRule="exact"/>
        <w:ind w:left="64"/>
      </w:pPr>
    </w:p>
    <w:p w14:paraId="5E761CB1" w14:textId="77777777" w:rsidR="00A46BE2" w:rsidRDefault="00A46BE2" w:rsidP="00A46BE2">
      <w:pPr>
        <w:spacing w:after="0"/>
        <w:jc w:val="both"/>
        <w:rPr>
          <w:rFonts w:ascii="Arial" w:hAnsi="Arial" w:cs="Arial"/>
        </w:rPr>
      </w:pPr>
    </w:p>
    <w:p w14:paraId="743787F1" w14:textId="77777777" w:rsidR="00A46BE2" w:rsidRDefault="00A46BE2" w:rsidP="00A46BE2">
      <w:pPr>
        <w:spacing w:after="0"/>
        <w:jc w:val="both"/>
        <w:rPr>
          <w:rFonts w:ascii="Arial" w:hAnsi="Arial" w:cs="Arial"/>
        </w:rPr>
      </w:pPr>
      <w:r>
        <w:rPr>
          <w:rFonts w:ascii="Arial" w:hAnsi="Arial" w:cs="Arial"/>
        </w:rPr>
        <w:t xml:space="preserve">Cordialmente, </w:t>
      </w:r>
    </w:p>
    <w:p w14:paraId="116719FF" w14:textId="77777777" w:rsidR="00A46BE2" w:rsidRDefault="00A46BE2" w:rsidP="00A46BE2">
      <w:pPr>
        <w:spacing w:after="0"/>
        <w:jc w:val="both"/>
        <w:rPr>
          <w:rFonts w:ascii="Arial" w:hAnsi="Arial" w:cs="Arial"/>
        </w:rPr>
      </w:pPr>
    </w:p>
    <w:p w14:paraId="3B5CFF43" w14:textId="77777777" w:rsidR="00A46BE2" w:rsidRDefault="00A46BE2" w:rsidP="00A46BE2">
      <w:pPr>
        <w:spacing w:after="0"/>
        <w:jc w:val="both"/>
        <w:rPr>
          <w:rFonts w:ascii="Arial" w:hAnsi="Arial" w:cs="Arial"/>
        </w:rPr>
      </w:pPr>
    </w:p>
    <w:p w14:paraId="745E8769" w14:textId="77777777" w:rsidR="00A46BE2" w:rsidRDefault="00A46BE2" w:rsidP="00A46BE2">
      <w:pPr>
        <w:spacing w:after="0"/>
        <w:jc w:val="both"/>
        <w:rPr>
          <w:rFonts w:ascii="Arial" w:hAnsi="Arial" w:cs="Arial"/>
        </w:rPr>
      </w:pPr>
    </w:p>
    <w:p w14:paraId="79B98CF2" w14:textId="77777777" w:rsidR="00A46BE2" w:rsidRDefault="00A46BE2" w:rsidP="00A46BE2">
      <w:pPr>
        <w:spacing w:after="0"/>
        <w:jc w:val="both"/>
        <w:rPr>
          <w:rFonts w:ascii="Arial" w:hAnsi="Arial" w:cs="Arial"/>
        </w:rPr>
      </w:pPr>
    </w:p>
    <w:p w14:paraId="5E61176C" w14:textId="3802CD4B" w:rsidR="00A46BE2" w:rsidRDefault="00A46BE2" w:rsidP="00114D05">
      <w:pPr>
        <w:spacing w:after="0" w:line="240" w:lineRule="auto"/>
        <w:jc w:val="center"/>
        <w:rPr>
          <w:rFonts w:ascii="Arial" w:hAnsi="Arial" w:cs="Arial"/>
          <w:b/>
        </w:rPr>
      </w:pPr>
      <w:r>
        <w:rPr>
          <w:rFonts w:ascii="Arial" w:hAnsi="Arial" w:cs="Arial"/>
          <w:b/>
        </w:rPr>
        <w:t>ÉDGAR LEONARDO BOJACÁ CASTRO</w:t>
      </w:r>
    </w:p>
    <w:p w14:paraId="4DCC7FA6" w14:textId="5E8A757C" w:rsidR="00A46BE2" w:rsidRDefault="00A46BE2" w:rsidP="00114D05">
      <w:pPr>
        <w:spacing w:after="0" w:line="240" w:lineRule="auto"/>
        <w:jc w:val="center"/>
        <w:rPr>
          <w:rFonts w:ascii="Arial" w:hAnsi="Arial" w:cs="Arial"/>
        </w:rPr>
      </w:pPr>
      <w:r>
        <w:rPr>
          <w:rFonts w:ascii="Arial" w:hAnsi="Arial" w:cs="Arial"/>
        </w:rPr>
        <w:t>Jefe Oficina Asesora Jurídica</w:t>
      </w:r>
    </w:p>
    <w:p w14:paraId="3949CEFC" w14:textId="77777777" w:rsidR="00A46BE2" w:rsidRDefault="00A46BE2" w:rsidP="00A46BE2">
      <w:pPr>
        <w:tabs>
          <w:tab w:val="right" w:pos="9405"/>
        </w:tabs>
        <w:spacing w:after="0"/>
        <w:jc w:val="both"/>
        <w:rPr>
          <w:rFonts w:ascii="Arial" w:hAnsi="Arial" w:cs="Arial"/>
          <w:sz w:val="18"/>
          <w:szCs w:val="18"/>
        </w:rPr>
      </w:pPr>
    </w:p>
    <w:p w14:paraId="5F965E8E" w14:textId="77777777" w:rsidR="00A46BE2" w:rsidRDefault="00A46BE2" w:rsidP="00A46BE2">
      <w:pPr>
        <w:tabs>
          <w:tab w:val="right" w:pos="9405"/>
        </w:tabs>
        <w:spacing w:after="0"/>
        <w:jc w:val="both"/>
        <w:rPr>
          <w:rFonts w:ascii="Arial" w:hAnsi="Arial" w:cs="Arial"/>
          <w:sz w:val="18"/>
          <w:szCs w:val="18"/>
        </w:rPr>
      </w:pPr>
    </w:p>
    <w:p w14:paraId="52949371" w14:textId="55339C5F" w:rsidR="000C48FF" w:rsidRPr="000C48FF" w:rsidRDefault="000C48FF" w:rsidP="00A46BE2">
      <w:pPr>
        <w:tabs>
          <w:tab w:val="left" w:pos="6098"/>
        </w:tabs>
        <w:rPr>
          <w:rFonts w:ascii="Arial" w:hAnsi="Arial" w:cs="Arial"/>
        </w:rPr>
      </w:pPr>
    </w:p>
    <w:sectPr w:rsidR="000C48FF" w:rsidRPr="000C48FF" w:rsidSect="007F25FF">
      <w:headerReference w:type="default" r:id="rId6"/>
      <w:footerReference w:type="default" r:id="rId7"/>
      <w:pgSz w:w="12240" w:h="15840"/>
      <w:pgMar w:top="1417" w:right="1701" w:bottom="1417" w:left="1701"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C7D9C" w14:textId="77777777" w:rsidR="00E61997" w:rsidRDefault="00E61997" w:rsidP="00DD51DD">
      <w:pPr>
        <w:spacing w:after="0" w:line="240" w:lineRule="auto"/>
      </w:pPr>
      <w:r>
        <w:separator/>
      </w:r>
    </w:p>
  </w:endnote>
  <w:endnote w:type="continuationSeparator" w:id="0">
    <w:p w14:paraId="72B43C4F" w14:textId="77777777" w:rsidR="00E61997" w:rsidRDefault="00E61997" w:rsidP="00DD5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 3 of 9">
    <w:altName w:val="Calibri"/>
    <w:charset w:val="00"/>
    <w:family w:val="moder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31D43" w14:textId="4737512A" w:rsidR="000C48FF" w:rsidRDefault="000C48FF">
    <w:pPr>
      <w:pStyle w:val="Piedepgina"/>
    </w:pPr>
    <w:r>
      <w:rPr>
        <w:noProof/>
        <w:lang w:val="es-ES" w:eastAsia="es-ES"/>
      </w:rPr>
      <w:drawing>
        <wp:anchor distT="0" distB="0" distL="114300" distR="114300" simplePos="0" relativeHeight="251673600" behindDoc="1" locked="0" layoutInCell="1" allowOverlap="1" wp14:anchorId="2E216C7E" wp14:editId="610D84E0">
          <wp:simplePos x="0" y="0"/>
          <wp:positionH relativeFrom="margin">
            <wp:posOffset>-102125</wp:posOffset>
          </wp:positionH>
          <wp:positionV relativeFrom="paragraph">
            <wp:posOffset>26339</wp:posOffset>
          </wp:positionV>
          <wp:extent cx="5986780" cy="1048109"/>
          <wp:effectExtent l="0" t="0" r="0" b="0"/>
          <wp:wrapNone/>
          <wp:docPr id="62" name="Imagen 62" descr="Memebrete_Mesa de trabajo 1 cop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mebrete_Mesa de trabajo 1 copia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88991" cy="1048496"/>
                  </a:xfrm>
                  <a:prstGeom prst="rect">
                    <a:avLst/>
                  </a:prstGeom>
                  <a:noFill/>
                </pic:spPr>
              </pic:pic>
            </a:graphicData>
          </a:graphic>
          <wp14:sizeRelH relativeFrom="page">
            <wp14:pctWidth>0</wp14:pctWidth>
          </wp14:sizeRelH>
          <wp14:sizeRelV relativeFrom="page">
            <wp14:pctHeight>0</wp14:pctHeight>
          </wp14:sizeRelV>
        </wp:anchor>
      </w:drawing>
    </w:r>
  </w:p>
  <w:p w14:paraId="7815325B" w14:textId="22F0248F" w:rsidR="000C48FF" w:rsidRDefault="000C48FF">
    <w:pPr>
      <w:pStyle w:val="Piedepgina"/>
    </w:pPr>
  </w:p>
  <w:p w14:paraId="7CDDA185" w14:textId="61A7097E" w:rsidR="000C48FF" w:rsidRDefault="000C48FF">
    <w:pPr>
      <w:pStyle w:val="Piedepgina"/>
    </w:pPr>
    <w:r>
      <w:rPr>
        <w:rFonts w:ascii="Arial" w:hAnsi="Arial" w:cs="Arial"/>
        <w:noProof/>
        <w:color w:val="000000"/>
        <w:lang w:val="es-ES" w:eastAsia="es-ES"/>
      </w:rPr>
      <mc:AlternateContent>
        <mc:Choice Requires="wps">
          <w:drawing>
            <wp:anchor distT="0" distB="0" distL="114300" distR="114300" simplePos="0" relativeHeight="251675648" behindDoc="0" locked="0" layoutInCell="1" allowOverlap="1" wp14:anchorId="66110F46" wp14:editId="736C754E">
              <wp:simplePos x="0" y="0"/>
              <wp:positionH relativeFrom="margin">
                <wp:posOffset>700957</wp:posOffset>
              </wp:positionH>
              <wp:positionV relativeFrom="paragraph">
                <wp:posOffset>114714</wp:posOffset>
              </wp:positionV>
              <wp:extent cx="4484536" cy="206734"/>
              <wp:effectExtent l="0" t="0" r="0" b="3175"/>
              <wp:wrapNone/>
              <wp:docPr id="8" name="Cuadro de texto 8"/>
              <wp:cNvGraphicFramePr/>
              <a:graphic xmlns:a="http://schemas.openxmlformats.org/drawingml/2006/main">
                <a:graphicData uri="http://schemas.microsoft.com/office/word/2010/wordprocessingShape">
                  <wps:wsp>
                    <wps:cNvSpPr txBox="1"/>
                    <wps:spPr>
                      <a:xfrm>
                        <a:off x="0" y="0"/>
                        <a:ext cx="4484536" cy="206734"/>
                      </a:xfrm>
                      <a:prstGeom prst="rect">
                        <a:avLst/>
                      </a:prstGeom>
                      <a:solidFill>
                        <a:schemeClr val="bg1"/>
                      </a:solidFill>
                      <a:ln w="6350">
                        <a:noFill/>
                      </a:ln>
                    </wps:spPr>
                    <wps:txbx>
                      <w:txbxContent>
                        <w:p w14:paraId="219321AF" w14:textId="77777777" w:rsidR="000C48FF" w:rsidRDefault="000C48FF"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10F46" id="_x0000_t202" coordsize="21600,21600" o:spt="202" path="m,l,21600r21600,l21600,xe">
              <v:stroke joinstyle="miter"/>
              <v:path gradientshapeok="t" o:connecttype="rect"/>
            </v:shapetype>
            <v:shape id="Cuadro de texto 8" o:spid="_x0000_s1027" type="#_x0000_t202" style="position:absolute;margin-left:55.2pt;margin-top:9.05pt;width:353.1pt;height:16.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" fillcolor="white [3212]" stroked="f" strokeweight=".5pt">
              <v:textbox>
                <w:txbxContent>
                  <w:p w14:paraId="219321AF" w14:textId="77777777" w:rsidR="000C48FF" w:rsidRDefault="000C48FF"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v:textbox>
              <w10:wrap anchorx="margin"/>
            </v:shape>
          </w:pict>
        </mc:Fallback>
      </mc:AlternateContent>
    </w:r>
  </w:p>
  <w:p w14:paraId="76FB2176" w14:textId="35AA4556" w:rsidR="000C48FF" w:rsidRDefault="000C48FF">
    <w:pPr>
      <w:pStyle w:val="Piedepgina"/>
    </w:pPr>
    <w:r>
      <w:rPr>
        <w:noProof/>
        <w:lang w:val="es-ES" w:eastAsia="es-ES"/>
      </w:rPr>
      <mc:AlternateContent>
        <mc:Choice Requires="wps">
          <w:drawing>
            <wp:anchor distT="0" distB="0" distL="114300" distR="114300" simplePos="0" relativeHeight="251677696" behindDoc="1" locked="0" layoutInCell="1" allowOverlap="1" wp14:anchorId="26274719" wp14:editId="73E5EDEB">
              <wp:simplePos x="0" y="0"/>
              <wp:positionH relativeFrom="column">
                <wp:posOffset>1033780</wp:posOffset>
              </wp:positionH>
              <wp:positionV relativeFrom="paragraph">
                <wp:posOffset>111125</wp:posOffset>
              </wp:positionV>
              <wp:extent cx="1645920" cy="436880"/>
              <wp:effectExtent l="0" t="0" r="0" b="127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AA87F" w14:textId="09BEE4F9" w:rsidR="000C48FF" w:rsidRPr="00BC0789" w:rsidRDefault="00114D05"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Sede de la Direccion Genera</w:t>
                          </w:r>
                        </w:p>
                        <w:p w14:paraId="49AEDA3E"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3F748A6"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50AAF71F" w14:textId="77777777" w:rsidR="000C48FF" w:rsidRPr="006C7934" w:rsidRDefault="000C48FF" w:rsidP="000C48FF">
                          <w:pPr>
                            <w:autoSpaceDE w:val="0"/>
                            <w:autoSpaceDN w:val="0"/>
                            <w:adjustRightInd w:val="0"/>
                            <w:spacing w:after="0" w:line="240" w:lineRule="auto"/>
                            <w:jc w:val="center"/>
                            <w:rPr>
                              <w:rFonts w:ascii="Arial" w:hAnsi="Arial" w:cs="Arial"/>
                              <w:color w:val="595959"/>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274719" id="Text Box 48" o:spid="_x0000_s1028" type="#_x0000_t202" style="position:absolute;margin-left:81.4pt;margin-top:8.75pt;width:129.6pt;height:3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" filled="f" stroked="f">
              <v:textbox>
                <w:txbxContent>
                  <w:p w14:paraId="10CAA87F" w14:textId="09BEE4F9" w:rsidR="000C48FF" w:rsidRPr="00BC0789" w:rsidRDefault="00114D05"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Sede de la Direccion Genera</w:t>
                    </w:r>
                  </w:p>
                  <w:p w14:paraId="49AEDA3E"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3F748A6"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50AAF71F" w14:textId="77777777" w:rsidR="000C48FF" w:rsidRPr="006C7934" w:rsidRDefault="000C48FF" w:rsidP="000C48FF">
                    <w:pPr>
                      <w:autoSpaceDE w:val="0"/>
                      <w:autoSpaceDN w:val="0"/>
                      <w:adjustRightInd w:val="0"/>
                      <w:spacing w:after="0" w:line="240" w:lineRule="auto"/>
                      <w:jc w:val="center"/>
                      <w:rPr>
                        <w:rFonts w:ascii="Arial" w:hAnsi="Arial" w:cs="Arial"/>
                        <w:color w:val="595959"/>
                        <w:sz w:val="18"/>
                        <w:szCs w:val="18"/>
                      </w:rPr>
                    </w:pPr>
                  </w:p>
                </w:txbxContent>
              </v:textbox>
            </v:shape>
          </w:pict>
        </mc:Fallback>
      </mc:AlternateContent>
    </w:r>
    <w:r>
      <w:rPr>
        <w:noProof/>
        <w:lang w:val="es-ES" w:eastAsia="es-ES"/>
      </w:rPr>
      <mc:AlternateContent>
        <mc:Choice Requires="wps">
          <w:drawing>
            <wp:anchor distT="0" distB="0" distL="114300" distR="114300" simplePos="0" relativeHeight="251679744" behindDoc="1" locked="0" layoutInCell="1" allowOverlap="1" wp14:anchorId="242C6D8D" wp14:editId="2F81CAA9">
              <wp:simplePos x="0" y="0"/>
              <wp:positionH relativeFrom="column">
                <wp:posOffset>3070970</wp:posOffset>
              </wp:positionH>
              <wp:positionV relativeFrom="paragraph">
                <wp:posOffset>166867</wp:posOffset>
              </wp:positionV>
              <wp:extent cx="1701579" cy="354330"/>
              <wp:effectExtent l="0" t="0" r="0" b="762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579"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959E7"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E9AABB6"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01 8000 91 8080</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242C6D8D" id="Text Box 47" o:spid="_x0000_s1029" type="#_x0000_t202" style="position:absolute;margin-left:241.8pt;margin-top:13.15pt;width:134pt;height:27.9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" filled="f" stroked="f">
              <v:textbox style="mso-fit-shape-to-text:t">
                <w:txbxContent>
                  <w:p w14:paraId="031959E7"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E9AABB6"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01 8000 91 8080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D6490" w14:textId="77777777" w:rsidR="00E61997" w:rsidRDefault="00E61997" w:rsidP="00DD51DD">
      <w:pPr>
        <w:spacing w:after="0" w:line="240" w:lineRule="auto"/>
      </w:pPr>
      <w:r>
        <w:separator/>
      </w:r>
    </w:p>
  </w:footnote>
  <w:footnote w:type="continuationSeparator" w:id="0">
    <w:p w14:paraId="104DE5B6" w14:textId="77777777" w:rsidR="00E61997" w:rsidRDefault="00E61997" w:rsidP="00DD51DD">
      <w:pPr>
        <w:spacing w:after="0" w:line="240" w:lineRule="auto"/>
      </w:pPr>
      <w:r>
        <w:continuationSeparator/>
      </w:r>
    </w:p>
  </w:footnote>
  <w:footnote w:id="1">
    <w:p w14:paraId="65CB76F0" w14:textId="77777777" w:rsidR="00A46BE2" w:rsidRPr="00143D9B" w:rsidRDefault="00A46BE2" w:rsidP="00A46BE2">
      <w:pPr>
        <w:pStyle w:val="Textonotapie"/>
        <w:jc w:val="both"/>
        <w:rPr>
          <w:sz w:val="16"/>
          <w:szCs w:val="16"/>
        </w:rPr>
      </w:pPr>
      <w:r w:rsidRPr="00143D9B">
        <w:rPr>
          <w:rStyle w:val="Refdenotaalpie"/>
          <w:sz w:val="16"/>
          <w:szCs w:val="16"/>
        </w:rPr>
        <w:footnoteRef/>
      </w:r>
      <w:r w:rsidRPr="00143D9B">
        <w:rPr>
          <w:sz w:val="16"/>
          <w:szCs w:val="16"/>
        </w:rPr>
        <w:t xml:space="preserve"> Sánchez Torres Carlos Ariel. El Acto Administrativo Teoría General. Segunda Edición. Legis Editores SA. </w:t>
      </w:r>
      <w:proofErr w:type="gramStart"/>
      <w:r w:rsidRPr="00143D9B">
        <w:rPr>
          <w:sz w:val="16"/>
          <w:szCs w:val="16"/>
        </w:rPr>
        <w:t>1995  Pág.</w:t>
      </w:r>
      <w:proofErr w:type="gramEnd"/>
      <w:r w:rsidRPr="00143D9B">
        <w:rPr>
          <w:sz w:val="16"/>
          <w:szCs w:val="16"/>
        </w:rPr>
        <w:t xml:space="preserve"> 113 </w:t>
      </w:r>
    </w:p>
  </w:footnote>
  <w:footnote w:id="2">
    <w:p w14:paraId="499ED3AB" w14:textId="77777777" w:rsidR="00A46BE2" w:rsidRPr="00C138AF" w:rsidRDefault="00A46BE2" w:rsidP="00A46BE2">
      <w:pPr>
        <w:pStyle w:val="Textonotapie"/>
        <w:jc w:val="both"/>
      </w:pPr>
      <w:r>
        <w:rPr>
          <w:rStyle w:val="Refdenotaalpie"/>
        </w:rPr>
        <w:footnoteRef/>
      </w:r>
      <w:r>
        <w:t xml:space="preserve"> López Blanco Hernán Fabio. Código General del Proceso. Parte General. Dupre Editores. 2016. Pág. 783. </w:t>
      </w:r>
    </w:p>
  </w:footnote>
  <w:footnote w:id="3">
    <w:p w14:paraId="6D2B11F9" w14:textId="77777777" w:rsidR="00A46BE2" w:rsidRPr="00C138AF" w:rsidRDefault="00A46BE2" w:rsidP="00A46BE2">
      <w:pPr>
        <w:pStyle w:val="Textonotapie"/>
        <w:jc w:val="both"/>
      </w:pPr>
      <w:r>
        <w:rPr>
          <w:rStyle w:val="Refdenotaalpie"/>
        </w:rPr>
        <w:footnoteRef/>
      </w:r>
      <w:r>
        <w:t xml:space="preserve"> </w:t>
      </w:r>
      <w:proofErr w:type="spellStart"/>
      <w:r w:rsidRPr="00D63BCF">
        <w:rPr>
          <w:i/>
        </w:rPr>
        <w:t>Íbid</w:t>
      </w:r>
      <w:proofErr w:type="spellEnd"/>
      <w:r>
        <w:t xml:space="preserve">. </w:t>
      </w:r>
      <w:r w:rsidRPr="00D63BCF">
        <w:t>Pág. 789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34CFA" w14:textId="6695AF9C" w:rsidR="00DD51DD" w:rsidRDefault="00A7235C">
    <w:pPr>
      <w:pStyle w:val="Encabezado"/>
    </w:pPr>
    <w:r>
      <w:rPr>
        <w:noProof/>
        <w:lang w:val="es-ES" w:eastAsia="es-ES"/>
      </w:rPr>
      <w:drawing>
        <wp:anchor distT="0" distB="0" distL="114300" distR="114300" simplePos="0" relativeHeight="251663360" behindDoc="1" locked="0" layoutInCell="1" allowOverlap="1" wp14:anchorId="2054C81C" wp14:editId="78EA6190">
          <wp:simplePos x="0" y="0"/>
          <wp:positionH relativeFrom="column">
            <wp:posOffset>3819525</wp:posOffset>
          </wp:positionH>
          <wp:positionV relativeFrom="paragraph">
            <wp:posOffset>-184150</wp:posOffset>
          </wp:positionV>
          <wp:extent cx="2166620" cy="935355"/>
          <wp:effectExtent l="0" t="0" r="5080" b="0"/>
          <wp:wrapNone/>
          <wp:docPr id="43" name="Imagen 43" descr="Memebrete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emebrete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6620" cy="935355"/>
                  </a:xfrm>
                  <a:prstGeom prst="rect">
                    <a:avLst/>
                  </a:prstGeom>
                  <a:noFill/>
                </pic:spPr>
              </pic:pic>
            </a:graphicData>
          </a:graphic>
          <wp14:sizeRelH relativeFrom="page">
            <wp14:pctWidth>0</wp14:pctWidth>
          </wp14:sizeRelH>
          <wp14:sizeRelV relativeFrom="page">
            <wp14:pctHeight>0</wp14:pctHeight>
          </wp14:sizeRelV>
        </wp:anchor>
      </w:drawing>
    </w:r>
    <w:r w:rsidR="00142C39">
      <w:rPr>
        <w:noProof/>
        <w:lang w:val="es-ES" w:eastAsia="es-ES"/>
      </w:rPr>
      <mc:AlternateContent>
        <mc:Choice Requires="wps">
          <w:drawing>
            <wp:anchor distT="45720" distB="45720" distL="114300" distR="114300" simplePos="0" relativeHeight="251659264" behindDoc="0" locked="0" layoutInCell="1" allowOverlap="1" wp14:anchorId="6875CF3B" wp14:editId="21140E51">
              <wp:simplePos x="0" y="0"/>
              <wp:positionH relativeFrom="column">
                <wp:posOffset>548640</wp:posOffset>
              </wp:positionH>
              <wp:positionV relativeFrom="paragraph">
                <wp:posOffset>-173355</wp:posOffset>
              </wp:positionV>
              <wp:extent cx="3776345" cy="1057275"/>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CBAD3" w14:textId="77777777" w:rsidR="00DD51DD" w:rsidRPr="00BB1379" w:rsidRDefault="00DD51DD" w:rsidP="00DD51DD">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5CD80CBD" w14:textId="77777777" w:rsidR="00DD51DD" w:rsidRPr="00BB1379" w:rsidRDefault="00DD51DD" w:rsidP="00DD51DD">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458FECE7" w14:textId="39AFF473" w:rsidR="00BB1379" w:rsidRDefault="00114D05" w:rsidP="00200D9C">
                          <w:pPr>
                            <w:contextualSpacing/>
                            <w:rPr>
                              <w:rFonts w:ascii="Arial" w:hAnsi="Arial" w:cs="Arial"/>
                              <w:b/>
                              <w:color w:val="000000"/>
                            </w:rPr>
                          </w:pPr>
                          <w:r>
                            <w:rPr>
                              <w:rFonts w:ascii="Arial" w:hAnsi="Arial" w:cs="Arial"/>
                              <w:b/>
                              <w:color w:val="000000"/>
                            </w:rPr>
                            <w:t>Oficina Asesora Jurídica</w:t>
                          </w:r>
                          <w:r w:rsidR="00DD51DD" w:rsidRPr="00BB1379">
                            <w:rPr>
                              <w:rFonts w:ascii="Arial" w:hAnsi="Arial" w:cs="Arial"/>
                              <w:b/>
                              <w:color w:val="000000"/>
                            </w:rPr>
                            <w:t xml:space="preserve"> </w:t>
                          </w:r>
                        </w:p>
                        <w:p w14:paraId="2844EA5F" w14:textId="7062B299" w:rsidR="00200D9C" w:rsidRPr="00BB1379" w:rsidRDefault="00114D05" w:rsidP="00200D9C">
                          <w:pPr>
                            <w:contextualSpacing/>
                            <w:rPr>
                              <w:rFonts w:ascii="Arial" w:hAnsi="Arial" w:cs="Arial"/>
                              <w:b/>
                              <w:color w:val="000000"/>
                            </w:rPr>
                          </w:pPr>
                          <w:r>
                            <w:rPr>
                              <w:rFonts w:ascii="Arial" w:hAnsi="Arial" w:cs="Arial"/>
                              <w:b/>
                              <w:color w:val="000000"/>
                            </w:rPr>
                            <w:t>Grupo de asesoría jurídica</w:t>
                          </w:r>
                          <w:r w:rsidR="00200D9C" w:rsidRPr="00BB1379">
                            <w:rPr>
                              <w:rFonts w:ascii="Arial" w:hAnsi="Arial" w:cs="Arial"/>
                              <w:b/>
                              <w:color w:val="000000"/>
                            </w:rPr>
                            <w:t xml:space="preserve"> </w:t>
                          </w:r>
                        </w:p>
                        <w:p w14:paraId="71763885" w14:textId="1AA778E9" w:rsidR="00DD51DD" w:rsidRPr="00BB1379" w:rsidRDefault="00A46BE2" w:rsidP="00200D9C">
                          <w:pPr>
                            <w:contextualSpacing/>
                            <w:rPr>
                              <w:rFonts w:ascii="Arial" w:hAnsi="Arial" w:cs="Arial"/>
                              <w:b/>
                              <w:color w:val="000000"/>
                            </w:rPr>
                          </w:pPr>
                          <w:r>
                            <w:rPr>
                              <w:rFonts w:ascii="Arial" w:hAnsi="Arial" w:cs="Arial"/>
                              <w:b/>
                              <w:color w:val="000000"/>
                            </w:rPr>
                            <w:t>Pública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75CF3B" id="_x0000_t202" coordsize="21600,21600" o:spt="202" path="m,l,21600r21600,l21600,xe">
              <v:stroke joinstyle="miter"/>
              <v:path gradientshapeok="t" o:connecttype="rect"/>
            </v:shapetype>
            <v:shape id="Cuadro de texto 2" o:spid="_x0000_s1026" type="#_x0000_t202" style="position:absolute;margin-left:43.2pt;margin-top:-13.65pt;width:297.35pt;height:8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" filled="f" stroked="f">
              <v:textbox>
                <w:txbxContent>
                  <w:p w14:paraId="483CBAD3" w14:textId="77777777" w:rsidR="00DD51DD" w:rsidRPr="00BB1379" w:rsidRDefault="00DD51DD" w:rsidP="00DD51DD">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5CD80CBD" w14:textId="77777777" w:rsidR="00DD51DD" w:rsidRPr="00BB1379" w:rsidRDefault="00DD51DD" w:rsidP="00DD51DD">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458FECE7" w14:textId="39AFF473" w:rsidR="00BB1379" w:rsidRDefault="00114D05" w:rsidP="00200D9C">
                    <w:pPr>
                      <w:contextualSpacing/>
                      <w:rPr>
                        <w:rFonts w:ascii="Arial" w:hAnsi="Arial" w:cs="Arial"/>
                        <w:b/>
                        <w:color w:val="000000"/>
                      </w:rPr>
                    </w:pPr>
                    <w:r>
                      <w:rPr>
                        <w:rFonts w:ascii="Arial" w:hAnsi="Arial" w:cs="Arial"/>
                        <w:b/>
                        <w:color w:val="000000"/>
                      </w:rPr>
                      <w:t>Oficina Asesora Jurídica</w:t>
                    </w:r>
                    <w:r w:rsidR="00DD51DD" w:rsidRPr="00BB1379">
                      <w:rPr>
                        <w:rFonts w:ascii="Arial" w:hAnsi="Arial" w:cs="Arial"/>
                        <w:b/>
                        <w:color w:val="000000"/>
                      </w:rPr>
                      <w:t xml:space="preserve"> </w:t>
                    </w:r>
                  </w:p>
                  <w:p w14:paraId="2844EA5F" w14:textId="7062B299" w:rsidR="00200D9C" w:rsidRPr="00BB1379" w:rsidRDefault="00114D05" w:rsidP="00200D9C">
                    <w:pPr>
                      <w:contextualSpacing/>
                      <w:rPr>
                        <w:rFonts w:ascii="Arial" w:hAnsi="Arial" w:cs="Arial"/>
                        <w:b/>
                        <w:color w:val="000000"/>
                      </w:rPr>
                    </w:pPr>
                    <w:r>
                      <w:rPr>
                        <w:rFonts w:ascii="Arial" w:hAnsi="Arial" w:cs="Arial"/>
                        <w:b/>
                        <w:color w:val="000000"/>
                      </w:rPr>
                      <w:t>Grupo de asesoría jurídica</w:t>
                    </w:r>
                    <w:r w:rsidR="00200D9C" w:rsidRPr="00BB1379">
                      <w:rPr>
                        <w:rFonts w:ascii="Arial" w:hAnsi="Arial" w:cs="Arial"/>
                        <w:b/>
                        <w:color w:val="000000"/>
                      </w:rPr>
                      <w:t xml:space="preserve"> </w:t>
                    </w:r>
                  </w:p>
                  <w:p w14:paraId="71763885" w14:textId="1AA778E9" w:rsidR="00DD51DD" w:rsidRPr="00BB1379" w:rsidRDefault="00A46BE2" w:rsidP="00200D9C">
                    <w:pPr>
                      <w:contextualSpacing/>
                      <w:rPr>
                        <w:rFonts w:ascii="Arial" w:hAnsi="Arial" w:cs="Arial"/>
                        <w:b/>
                        <w:color w:val="000000"/>
                      </w:rPr>
                    </w:pPr>
                    <w:r>
                      <w:rPr>
                        <w:rFonts w:ascii="Arial" w:hAnsi="Arial" w:cs="Arial"/>
                        <w:b/>
                        <w:color w:val="000000"/>
                      </w:rPr>
                      <w:t>Pública</w:t>
                    </w:r>
                  </w:p>
                </w:txbxContent>
              </v:textbox>
              <w10:wrap type="square"/>
            </v:shape>
          </w:pict>
        </mc:Fallback>
      </mc:AlternateContent>
    </w:r>
    <w:r w:rsidR="00142C39">
      <w:rPr>
        <w:noProof/>
        <w:lang w:val="es-ES" w:eastAsia="es-ES"/>
      </w:rPr>
      <w:drawing>
        <wp:anchor distT="0" distB="0" distL="114300" distR="114300" simplePos="0" relativeHeight="251661312" behindDoc="1" locked="0" layoutInCell="1" allowOverlap="1" wp14:anchorId="2792179C" wp14:editId="47300488">
          <wp:simplePos x="0" y="0"/>
          <wp:positionH relativeFrom="column">
            <wp:posOffset>-410845</wp:posOffset>
          </wp:positionH>
          <wp:positionV relativeFrom="paragraph">
            <wp:posOffset>-71120</wp:posOffset>
          </wp:positionV>
          <wp:extent cx="600075" cy="742950"/>
          <wp:effectExtent l="0" t="0" r="9525" b="0"/>
          <wp:wrapNone/>
          <wp:docPr id="34" name="Imagen 34"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SOLIDO-NEGRO-ICBF-T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14:sizeRelH relativeFrom="page">
            <wp14:pctWidth>0</wp14:pctWidth>
          </wp14:sizeRelH>
          <wp14:sizeRelV relativeFrom="page">
            <wp14:pctHeight>0</wp14:pctHeight>
          </wp14:sizeRelV>
        </wp:anchor>
      </w:drawing>
    </w:r>
  </w:p>
  <w:p w14:paraId="21ECD37C" w14:textId="77777777" w:rsidR="00DD51DD" w:rsidRDefault="00DD51DD">
    <w:pPr>
      <w:pStyle w:val="Encabezado"/>
    </w:pPr>
  </w:p>
  <w:p w14:paraId="063F274E" w14:textId="3EFF6A1D" w:rsidR="00DD51DD" w:rsidRDefault="00DD51DD">
    <w:pPr>
      <w:pStyle w:val="Encabezado"/>
    </w:pPr>
  </w:p>
  <w:p w14:paraId="60726CCE" w14:textId="177EE378" w:rsidR="00200D9C" w:rsidRDefault="00200D9C">
    <w:pPr>
      <w:pStyle w:val="Encabezado"/>
    </w:pPr>
  </w:p>
  <w:p w14:paraId="6796AE61" w14:textId="21718592" w:rsidR="00EB3B9A" w:rsidRDefault="002F0B60">
    <w:pPr>
      <w:pStyle w:val="Encabezado"/>
    </w:pPr>
    <w:r>
      <w:rPr>
        <w:noProof/>
        <w:lang w:val="es-ES" w:eastAsia="es-ES"/>
      </w:rPr>
      <mc:AlternateContent>
        <mc:Choice Requires="wps">
          <w:drawing>
            <wp:anchor distT="0" distB="0" distL="114300" distR="114300" simplePos="0" relativeHeight="251681792" behindDoc="0" locked="0" layoutInCell="1" allowOverlap="1" wp14:anchorId="1CC2558D" wp14:editId="34973C52">
              <wp:simplePos x="0" y="0"/>
              <wp:positionH relativeFrom="column">
                <wp:posOffset>-469127</wp:posOffset>
              </wp:positionH>
              <wp:positionV relativeFrom="paragraph">
                <wp:posOffset>243316</wp:posOffset>
              </wp:positionV>
              <wp:extent cx="6711315" cy="0"/>
              <wp:effectExtent l="9525" t="9525" r="13335" b="952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26C958" id="_x0000_t32" coordsize="21600,21600" o:spt="32" o:oned="t" path="m,l21600,21600e" filled="f">
              <v:path arrowok="t" fillok="f" o:connecttype="none"/>
              <o:lock v:ext="edit" shapetype="t"/>
            </v:shapetype>
            <v:shape id="AutoShape 49" o:spid="_x0000_s1026" type="#_x0000_t32" style="position:absolute;margin-left:-36.95pt;margin-top:19.15pt;width:528.4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"/>
          </w:pict>
        </mc:Fallback>
      </mc:AlternateContent>
    </w:r>
  </w:p>
  <w:p w14:paraId="0EB8B688" w14:textId="5C099908" w:rsidR="00142C39" w:rsidRDefault="00142C3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51DD"/>
    <w:rsid w:val="00003FDF"/>
    <w:rsid w:val="000509D7"/>
    <w:rsid w:val="000A4C4B"/>
    <w:rsid w:val="000C48FF"/>
    <w:rsid w:val="000C709A"/>
    <w:rsid w:val="00114D05"/>
    <w:rsid w:val="00142C39"/>
    <w:rsid w:val="00165DBE"/>
    <w:rsid w:val="00200D9C"/>
    <w:rsid w:val="00206D48"/>
    <w:rsid w:val="00243275"/>
    <w:rsid w:val="002E1C19"/>
    <w:rsid w:val="002F0B60"/>
    <w:rsid w:val="002F3C0B"/>
    <w:rsid w:val="00374FC8"/>
    <w:rsid w:val="0038648B"/>
    <w:rsid w:val="00394714"/>
    <w:rsid w:val="00440DC3"/>
    <w:rsid w:val="00467515"/>
    <w:rsid w:val="00473013"/>
    <w:rsid w:val="004918F8"/>
    <w:rsid w:val="004B2A90"/>
    <w:rsid w:val="004F5DDE"/>
    <w:rsid w:val="00597F56"/>
    <w:rsid w:val="005B7148"/>
    <w:rsid w:val="005C0CD1"/>
    <w:rsid w:val="00614620"/>
    <w:rsid w:val="00697A61"/>
    <w:rsid w:val="006A79C3"/>
    <w:rsid w:val="00782CD9"/>
    <w:rsid w:val="00785C86"/>
    <w:rsid w:val="007964A2"/>
    <w:rsid w:val="007F25FF"/>
    <w:rsid w:val="008B2C30"/>
    <w:rsid w:val="008C27E8"/>
    <w:rsid w:val="008E5735"/>
    <w:rsid w:val="00981200"/>
    <w:rsid w:val="009D0D33"/>
    <w:rsid w:val="009D73D0"/>
    <w:rsid w:val="00A04D12"/>
    <w:rsid w:val="00A230B6"/>
    <w:rsid w:val="00A23933"/>
    <w:rsid w:val="00A46BE2"/>
    <w:rsid w:val="00A7235C"/>
    <w:rsid w:val="00AA3F1C"/>
    <w:rsid w:val="00B52B4E"/>
    <w:rsid w:val="00BB1379"/>
    <w:rsid w:val="00C42935"/>
    <w:rsid w:val="00C61876"/>
    <w:rsid w:val="00C657EB"/>
    <w:rsid w:val="00C84481"/>
    <w:rsid w:val="00D65BE6"/>
    <w:rsid w:val="00D8029A"/>
    <w:rsid w:val="00DD51DD"/>
    <w:rsid w:val="00E1369E"/>
    <w:rsid w:val="00E14DA4"/>
    <w:rsid w:val="00E61997"/>
    <w:rsid w:val="00EB3B9A"/>
    <w:rsid w:val="00F54F25"/>
    <w:rsid w:val="00FA2203"/>
    <w:rsid w:val="00FF24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3C71D"/>
  <w15:docId w15:val="{EB7AF579-F5AA-4CFB-BFD3-C5169954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1DD"/>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DD51DD"/>
  </w:style>
  <w:style w:type="paragraph" w:styleId="Piedepgina">
    <w:name w:val="footer"/>
    <w:basedOn w:val="Normal"/>
    <w:link w:val="Piedepgina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DD51DD"/>
  </w:style>
  <w:style w:type="paragraph" w:styleId="NormalWeb">
    <w:name w:val="Normal (Web)"/>
    <w:basedOn w:val="Normal"/>
    <w:uiPriority w:val="99"/>
    <w:semiHidden/>
    <w:unhideWhenUsed/>
    <w:rsid w:val="00E14DA4"/>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commoncomponentsqlik">
    <w:name w:val="commoncomponentsqlik"/>
    <w:basedOn w:val="Fuentedeprrafopredeter"/>
    <w:rsid w:val="00E14DA4"/>
  </w:style>
  <w:style w:type="character" w:customStyle="1" w:styleId="commoncomponentsqlikview">
    <w:name w:val="commoncomponentsqlikview"/>
    <w:basedOn w:val="Fuentedeprrafopredeter"/>
    <w:rsid w:val="00E14DA4"/>
  </w:style>
  <w:style w:type="character" w:customStyle="1" w:styleId="path">
    <w:name w:val="path"/>
    <w:basedOn w:val="Fuentedeprrafopredeter"/>
    <w:rsid w:val="00E14DA4"/>
  </w:style>
  <w:style w:type="table" w:styleId="Tablaconcuadrcula">
    <w:name w:val="Table Grid"/>
    <w:basedOn w:val="Tablanormal"/>
    <w:uiPriority w:val="39"/>
    <w:rsid w:val="00E1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14D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4DA4"/>
    <w:rPr>
      <w:rFonts w:ascii="Segoe UI" w:eastAsia="Calibri" w:hAnsi="Segoe UI" w:cs="Segoe UI"/>
      <w:sz w:val="18"/>
      <w:szCs w:val="18"/>
      <w:lang w:val="es-ES"/>
    </w:rPr>
  </w:style>
  <w:style w:type="character" w:styleId="Textoennegrita">
    <w:name w:val="Strong"/>
    <w:basedOn w:val="Fuentedeprrafopredeter"/>
    <w:uiPriority w:val="22"/>
    <w:qFormat/>
    <w:rsid w:val="000C48FF"/>
    <w:rPr>
      <w:b/>
      <w:bCs/>
    </w:rPr>
  </w:style>
  <w:style w:type="paragraph" w:styleId="Textonotapie">
    <w:name w:val="footnote text"/>
    <w:basedOn w:val="Normal"/>
    <w:link w:val="TextonotapieCar"/>
    <w:uiPriority w:val="99"/>
    <w:semiHidden/>
    <w:unhideWhenUsed/>
    <w:rsid w:val="00A46BE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46BE2"/>
    <w:rPr>
      <w:rFonts w:ascii="Calibri" w:eastAsia="Calibri" w:hAnsi="Calibri" w:cs="Times New Roman"/>
      <w:sz w:val="20"/>
      <w:szCs w:val="20"/>
      <w:lang w:val="es-ES"/>
    </w:rPr>
  </w:style>
  <w:style w:type="character" w:styleId="Refdenotaalpie">
    <w:name w:val="footnote reference"/>
    <w:basedOn w:val="Fuentedeprrafopredeter"/>
    <w:uiPriority w:val="99"/>
    <w:semiHidden/>
    <w:unhideWhenUsed/>
    <w:rsid w:val="00A46BE2"/>
    <w:rPr>
      <w:vertAlign w:val="superscript"/>
    </w:rPr>
  </w:style>
  <w:style w:type="paragraph" w:styleId="Prrafodelista">
    <w:name w:val="List Paragraph"/>
    <w:basedOn w:val="Normal"/>
    <w:uiPriority w:val="34"/>
    <w:qFormat/>
    <w:rsid w:val="00A46B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921862">
      <w:bodyDiv w:val="1"/>
      <w:marLeft w:val="0"/>
      <w:marRight w:val="0"/>
      <w:marTop w:val="0"/>
      <w:marBottom w:val="0"/>
      <w:divBdr>
        <w:top w:val="none" w:sz="0" w:space="0" w:color="auto"/>
        <w:left w:val="none" w:sz="0" w:space="0" w:color="auto"/>
        <w:bottom w:val="none" w:sz="0" w:space="0" w:color="auto"/>
        <w:right w:val="none" w:sz="0" w:space="0" w:color="auto"/>
      </w:divBdr>
    </w:div>
    <w:div w:id="103373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2100</Words>
  <Characters>11553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Elly Yein Passos Guerrero</dc:creator>
  <cp:lastModifiedBy>Luis Fernando Cardenas Uran</cp:lastModifiedBy>
  <cp:revision>3</cp:revision>
  <dcterms:created xsi:type="dcterms:W3CDTF">2020-07-23T16:04:00Z</dcterms:created>
  <dcterms:modified xsi:type="dcterms:W3CDTF">2020-07-27T11:49:00Z</dcterms:modified>
</cp:coreProperties>
</file>