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0C88" w14:textId="4E626F97" w:rsidR="00D40A47" w:rsidRDefault="00D40A47" w:rsidP="00D40A47">
      <w:pPr>
        <w:pStyle w:val="paragraph"/>
        <w:spacing w:before="0" w:beforeAutospacing="0" w:after="0" w:afterAutospacing="0"/>
        <w:jc w:val="center"/>
        <w:textAlignment w:val="baseline"/>
        <w:rPr>
          <w:rStyle w:val="normaltextrun"/>
          <w:rFonts w:ascii="Segoe UI" w:hAnsi="Segoe UI" w:cs="Segoe UI"/>
          <w:b/>
          <w:bCs/>
          <w:color w:val="000000"/>
          <w:sz w:val="40"/>
          <w:szCs w:val="40"/>
          <w:lang w:val="es-ES"/>
        </w:rPr>
      </w:pPr>
      <w:r>
        <w:rPr>
          <w:rStyle w:val="normaltextrun"/>
          <w:rFonts w:ascii="Segoe UI" w:hAnsi="Segoe UI" w:cs="Segoe UI"/>
          <w:color w:val="000000"/>
          <w:sz w:val="40"/>
          <w:szCs w:val="40"/>
          <w:lang w:val="es-ES"/>
        </w:rPr>
        <w:t>Concepto ICBF </w:t>
      </w:r>
      <w:r>
        <w:rPr>
          <w:rStyle w:val="normaltextrun"/>
          <w:rFonts w:ascii="Segoe UI" w:hAnsi="Segoe UI" w:cs="Segoe UI"/>
          <w:b/>
          <w:bCs/>
          <w:color w:val="000000"/>
          <w:sz w:val="40"/>
          <w:szCs w:val="40"/>
          <w:lang w:val="es-ES"/>
        </w:rPr>
        <w:t>No 2</w:t>
      </w:r>
      <w:r>
        <w:rPr>
          <w:rStyle w:val="normaltextrun"/>
          <w:rFonts w:ascii="Segoe UI" w:hAnsi="Segoe UI" w:cs="Segoe UI"/>
          <w:b/>
          <w:bCs/>
          <w:color w:val="000000"/>
          <w:sz w:val="40"/>
          <w:szCs w:val="40"/>
          <w:lang w:val="es-ES"/>
        </w:rPr>
        <w:t>1</w:t>
      </w:r>
    </w:p>
    <w:p w14:paraId="5E001197" w14:textId="01E0330C" w:rsidR="00D40A47" w:rsidRDefault="00D40A47" w:rsidP="00D40A4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color w:val="000000"/>
          <w:sz w:val="40"/>
          <w:szCs w:val="40"/>
        </w:rPr>
        <w:t> </w:t>
      </w:r>
    </w:p>
    <w:p w14:paraId="43AFA4B3" w14:textId="6B6C6F20" w:rsidR="00D40A47" w:rsidRDefault="00D40A47" w:rsidP="00D40A47">
      <w:pPr>
        <w:pStyle w:val="paragraph"/>
        <w:spacing w:before="0" w:beforeAutospacing="0" w:after="0" w:afterAutospacing="0"/>
        <w:ind w:right="-105"/>
        <w:jc w:val="both"/>
        <w:textAlignment w:val="baseline"/>
        <w:rPr>
          <w:rStyle w:val="eop"/>
          <w:rFonts w:ascii="Arial" w:hAnsi="Arial" w:cs="Arial"/>
          <w:sz w:val="22"/>
          <w:szCs w:val="22"/>
        </w:rPr>
      </w:pPr>
      <w:r>
        <w:rPr>
          <w:rStyle w:val="normaltextrun"/>
          <w:rFonts w:ascii="Arial" w:hAnsi="Arial" w:cs="Arial"/>
          <w:b/>
          <w:bCs/>
          <w:sz w:val="22"/>
          <w:szCs w:val="22"/>
          <w:lang w:val="es-MX"/>
        </w:rPr>
        <w:t>Fecha:</w:t>
      </w:r>
      <w:r>
        <w:rPr>
          <w:rStyle w:val="normaltextrun"/>
          <w:rFonts w:ascii="Arial" w:hAnsi="Arial" w:cs="Arial"/>
          <w:sz w:val="22"/>
          <w:szCs w:val="22"/>
          <w:lang w:val="es-MX"/>
        </w:rPr>
        <w:t>             </w:t>
      </w:r>
      <w:r>
        <w:rPr>
          <w:rFonts w:ascii="Arial" w:hAnsi="Arial" w:cs="Arial"/>
          <w:bCs/>
          <w:lang w:val="en-US"/>
        </w:rPr>
        <w:t xml:space="preserve">27 de </w:t>
      </w:r>
      <w:proofErr w:type="spellStart"/>
      <w:proofErr w:type="gramStart"/>
      <w:r>
        <w:rPr>
          <w:rFonts w:ascii="Arial" w:hAnsi="Arial" w:cs="Arial"/>
          <w:bCs/>
          <w:lang w:val="en-US"/>
        </w:rPr>
        <w:t>Septiembre</w:t>
      </w:r>
      <w:proofErr w:type="spellEnd"/>
      <w:r>
        <w:rPr>
          <w:rFonts w:ascii="Arial" w:hAnsi="Arial" w:cs="Arial"/>
          <w:bCs/>
          <w:lang w:val="en-US"/>
        </w:rPr>
        <w:t xml:space="preserve">  2021</w:t>
      </w:r>
      <w:proofErr w:type="gramEnd"/>
    </w:p>
    <w:p w14:paraId="50A9FAC0" w14:textId="24058021" w:rsidR="00D40A47" w:rsidRDefault="00D40A47" w:rsidP="00D40A47">
      <w:pPr>
        <w:pStyle w:val="paragraph"/>
        <w:spacing w:before="0" w:beforeAutospacing="0" w:after="0" w:afterAutospacing="0"/>
        <w:ind w:right="-105"/>
        <w:jc w:val="both"/>
        <w:textAlignment w:val="baseline"/>
        <w:rPr>
          <w:rStyle w:val="eop"/>
          <w:rFonts w:ascii="Arial" w:hAnsi="Arial" w:cs="Arial"/>
          <w:sz w:val="22"/>
          <w:szCs w:val="22"/>
        </w:rPr>
      </w:pPr>
    </w:p>
    <w:p w14:paraId="02112671" w14:textId="77777777" w:rsidR="00D40A47" w:rsidRDefault="00D40A47" w:rsidP="00D40A47">
      <w:pPr>
        <w:pStyle w:val="paragraph"/>
        <w:spacing w:before="0" w:beforeAutospacing="0" w:after="0" w:afterAutospacing="0"/>
        <w:ind w:right="-105"/>
        <w:jc w:val="both"/>
        <w:textAlignment w:val="baseline"/>
        <w:rPr>
          <w:rFonts w:ascii="Segoe UI" w:hAnsi="Segoe UI" w:cs="Segoe UI"/>
          <w:sz w:val="18"/>
          <w:szCs w:val="18"/>
        </w:rPr>
      </w:pPr>
    </w:p>
    <w:p w14:paraId="444E2E82" w14:textId="13C02842" w:rsidR="00D40A47" w:rsidRDefault="00D40A47" w:rsidP="00D40A47">
      <w:pPr>
        <w:pStyle w:val="paragraph"/>
        <w:spacing w:before="0" w:beforeAutospacing="0" w:after="0" w:afterAutospacing="0"/>
        <w:jc w:val="both"/>
        <w:textAlignment w:val="baseline"/>
        <w:rPr>
          <w:rFonts w:ascii="Segoe UI" w:hAnsi="Segoe UI" w:cs="Segoe UI"/>
          <w:sz w:val="18"/>
          <w:szCs w:val="18"/>
        </w:rPr>
      </w:pPr>
    </w:p>
    <w:p w14:paraId="065B1602" w14:textId="77777777" w:rsidR="00D40A47" w:rsidRDefault="00D40A47" w:rsidP="00D40A47">
      <w:pPr>
        <w:pStyle w:val="paragraph"/>
        <w:spacing w:before="0" w:beforeAutospacing="0" w:after="0" w:afterAutospacing="0"/>
        <w:ind w:left="1410" w:hanging="1410"/>
        <w:jc w:val="both"/>
        <w:textAlignment w:val="baseline"/>
        <w:rPr>
          <w:rFonts w:ascii="Segoe UI" w:hAnsi="Segoe UI" w:cs="Segoe UI"/>
          <w:sz w:val="18"/>
          <w:szCs w:val="18"/>
        </w:rPr>
      </w:pPr>
      <w:r>
        <w:rPr>
          <w:rStyle w:val="normaltextrun"/>
          <w:rFonts w:ascii="Arial" w:hAnsi="Arial" w:cs="Arial"/>
          <w:color w:val="000000"/>
          <w:sz w:val="22"/>
          <w:szCs w:val="22"/>
          <w:lang w:val="es-ES"/>
        </w:rPr>
        <w:t>ASUNTO: </w:t>
      </w:r>
      <w:r>
        <w:rPr>
          <w:rStyle w:val="tabchar"/>
          <w:rFonts w:ascii="Calibri" w:hAnsi="Calibri" w:cs="Calibri"/>
          <w:color w:val="000000"/>
          <w:sz w:val="22"/>
          <w:szCs w:val="22"/>
        </w:rPr>
        <w:t xml:space="preserve"> </w:t>
      </w:r>
      <w:r>
        <w:rPr>
          <w:rStyle w:val="normaltextrun"/>
          <w:rFonts w:ascii="Arial" w:hAnsi="Arial" w:cs="Arial"/>
          <w:color w:val="000000"/>
          <w:sz w:val="22"/>
          <w:szCs w:val="22"/>
          <w:lang w:val="es-ES"/>
        </w:rPr>
        <w:t>Alcance respuesta emitida con radicado 202010410000229331 del 11 de agosto de 2020. </w:t>
      </w:r>
      <w:r>
        <w:rPr>
          <w:rStyle w:val="normaltextrun"/>
          <w:rFonts w:ascii="Arial" w:hAnsi="Arial" w:cs="Arial"/>
          <w:sz w:val="22"/>
          <w:szCs w:val="22"/>
          <w:lang w:val="es-ES"/>
        </w:rPr>
        <w:t>Solicitud de concepto jurídico. </w:t>
      </w:r>
      <w:r>
        <w:rPr>
          <w:rStyle w:val="eop"/>
          <w:rFonts w:ascii="Arial" w:hAnsi="Arial" w:cs="Arial"/>
          <w:sz w:val="22"/>
          <w:szCs w:val="22"/>
        </w:rPr>
        <w:t> </w:t>
      </w:r>
    </w:p>
    <w:p w14:paraId="6F6809F7" w14:textId="77777777" w:rsidR="00D40A47" w:rsidRDefault="00D40A47" w:rsidP="00D40A47">
      <w:pPr>
        <w:pStyle w:val="paragraph"/>
        <w:spacing w:before="0" w:beforeAutospacing="0" w:after="0" w:afterAutospacing="0"/>
        <w:ind w:left="1125" w:hanging="1125"/>
        <w:jc w:val="both"/>
        <w:textAlignment w:val="baseline"/>
        <w:rPr>
          <w:rFonts w:ascii="Segoe UI" w:hAnsi="Segoe UI" w:cs="Segoe UI"/>
          <w:sz w:val="18"/>
          <w:szCs w:val="18"/>
        </w:rPr>
      </w:pPr>
      <w:r>
        <w:rPr>
          <w:rStyle w:val="eop"/>
          <w:rFonts w:ascii="Arial" w:hAnsi="Arial" w:cs="Arial"/>
          <w:sz w:val="22"/>
          <w:szCs w:val="22"/>
        </w:rPr>
        <w:t> </w:t>
      </w:r>
    </w:p>
    <w:p w14:paraId="65D639DC" w14:textId="284CDEC7" w:rsidR="000F4541" w:rsidRPr="00D40A47" w:rsidRDefault="000F4541" w:rsidP="00D40A47">
      <w:pPr>
        <w:pStyle w:val="paragraph"/>
        <w:spacing w:before="0" w:beforeAutospacing="0" w:after="0" w:afterAutospacing="0"/>
        <w:ind w:right="15"/>
        <w:jc w:val="both"/>
        <w:textAlignment w:val="baseline"/>
        <w:rPr>
          <w:rFonts w:ascii="Segoe UI" w:hAnsi="Segoe UI" w:cs="Segoe UI"/>
          <w:sz w:val="18"/>
          <w:szCs w:val="18"/>
        </w:rPr>
      </w:pPr>
    </w:p>
    <w:p w14:paraId="033BE71E" w14:textId="4780D497" w:rsidR="00C13820" w:rsidRPr="00522476" w:rsidRDefault="005C5821" w:rsidP="00CF0D7F">
      <w:pPr>
        <w:spacing w:after="0" w:line="240" w:lineRule="auto"/>
        <w:rPr>
          <w:rFonts w:ascii="Arial" w:hAnsi="Arial" w:cs="Arial"/>
        </w:rPr>
      </w:pPr>
      <w:r>
        <w:rPr>
          <w:rFonts w:ascii="Arial" w:hAnsi="Arial" w:cs="Arial"/>
        </w:rPr>
        <w:t xml:space="preserve">Doctora </w:t>
      </w:r>
      <w:proofErr w:type="spellStart"/>
      <w:r w:rsidR="00D40A47">
        <w:rPr>
          <w:rFonts w:ascii="Arial" w:hAnsi="Arial" w:cs="Arial"/>
        </w:rPr>
        <w:t>xxxxxxxxx</w:t>
      </w:r>
      <w:proofErr w:type="spellEnd"/>
      <w:r>
        <w:rPr>
          <w:rFonts w:ascii="Arial" w:hAnsi="Arial" w:cs="Arial"/>
        </w:rPr>
        <w:t>, cordial saludo</w:t>
      </w:r>
      <w:r w:rsidR="00C13820" w:rsidRPr="00522476">
        <w:rPr>
          <w:rFonts w:ascii="Arial" w:hAnsi="Arial" w:cs="Arial"/>
        </w:rPr>
        <w:t>:</w:t>
      </w:r>
    </w:p>
    <w:p w14:paraId="349689D9" w14:textId="77777777" w:rsidR="00F1550D" w:rsidRDefault="00F1550D" w:rsidP="00CF0D7F">
      <w:pPr>
        <w:spacing w:after="0" w:line="240" w:lineRule="auto"/>
        <w:rPr>
          <w:rFonts w:ascii="Arial" w:hAnsi="Arial" w:cs="Arial"/>
        </w:rPr>
      </w:pPr>
    </w:p>
    <w:p w14:paraId="187AD58A" w14:textId="140AAD6A" w:rsidR="008F404F" w:rsidRDefault="008F404F" w:rsidP="00CF0D7F">
      <w:pPr>
        <w:spacing w:after="0" w:line="240" w:lineRule="auto"/>
        <w:jc w:val="both"/>
        <w:rPr>
          <w:rFonts w:ascii="Arial" w:hAnsi="Arial" w:cs="Arial"/>
          <w:bCs/>
          <w:lang w:val="es-CO"/>
        </w:rPr>
      </w:pPr>
      <w:r w:rsidRPr="00DA133A">
        <w:rPr>
          <w:rFonts w:ascii="Arial" w:hAnsi="Arial" w:cs="Arial"/>
          <w:bCs/>
          <w:lang w:val="es-CO"/>
        </w:rPr>
        <w:t xml:space="preserve">De manera atenta y en el marco de nuestras competencias, esta Oficina emite concepto jurídico sobre el </w:t>
      </w:r>
      <w:r w:rsidR="00C93518">
        <w:rPr>
          <w:rFonts w:ascii="Arial" w:hAnsi="Arial" w:cs="Arial"/>
          <w:bCs/>
          <w:lang w:val="es-CO"/>
        </w:rPr>
        <w:t xml:space="preserve">mecanismo </w:t>
      </w:r>
      <w:r w:rsidR="00964BB1">
        <w:rPr>
          <w:rFonts w:ascii="Arial" w:hAnsi="Arial" w:cs="Arial"/>
          <w:bCs/>
          <w:lang w:val="es-CO"/>
        </w:rPr>
        <w:t>previsto</w:t>
      </w:r>
      <w:r w:rsidR="00C93518">
        <w:rPr>
          <w:rFonts w:ascii="Arial" w:hAnsi="Arial" w:cs="Arial"/>
          <w:bCs/>
          <w:lang w:val="es-CO"/>
        </w:rPr>
        <w:t xml:space="preserve"> para realizar las</w:t>
      </w:r>
      <w:r w:rsidRPr="00DA133A">
        <w:rPr>
          <w:rFonts w:ascii="Arial" w:hAnsi="Arial" w:cs="Arial"/>
          <w:bCs/>
          <w:lang w:val="es-CO"/>
        </w:rPr>
        <w:t xml:space="preserve"> </w:t>
      </w:r>
      <w:r>
        <w:rPr>
          <w:rFonts w:ascii="Arial" w:hAnsi="Arial" w:cs="Arial"/>
          <w:bCs/>
          <w:lang w:val="es-CO"/>
        </w:rPr>
        <w:t>enajenaci</w:t>
      </w:r>
      <w:r w:rsidR="00C93518">
        <w:rPr>
          <w:rFonts w:ascii="Arial" w:hAnsi="Arial" w:cs="Arial"/>
          <w:bCs/>
          <w:lang w:val="es-CO"/>
        </w:rPr>
        <w:t>ones</w:t>
      </w:r>
      <w:r>
        <w:rPr>
          <w:rFonts w:ascii="Arial" w:hAnsi="Arial" w:cs="Arial"/>
          <w:bCs/>
          <w:lang w:val="es-CO"/>
        </w:rPr>
        <w:t xml:space="preserve"> directa</w:t>
      </w:r>
      <w:r w:rsidR="00C93518">
        <w:rPr>
          <w:rFonts w:ascii="Arial" w:hAnsi="Arial" w:cs="Arial"/>
          <w:bCs/>
          <w:lang w:val="es-CO"/>
        </w:rPr>
        <w:t>s</w:t>
      </w:r>
      <w:r>
        <w:rPr>
          <w:rFonts w:ascii="Arial" w:hAnsi="Arial" w:cs="Arial"/>
          <w:bCs/>
          <w:lang w:val="es-CO"/>
        </w:rPr>
        <w:t xml:space="preserve"> </w:t>
      </w:r>
      <w:r w:rsidR="00222981">
        <w:rPr>
          <w:rFonts w:ascii="Arial" w:hAnsi="Arial" w:cs="Arial"/>
          <w:bCs/>
          <w:lang w:val="es-CO"/>
        </w:rPr>
        <w:t>de</w:t>
      </w:r>
      <w:r w:rsidR="006C2815">
        <w:rPr>
          <w:rFonts w:ascii="Arial" w:hAnsi="Arial" w:cs="Arial"/>
          <w:bCs/>
          <w:lang w:val="es-CO"/>
        </w:rPr>
        <w:t xml:space="preserve"> </w:t>
      </w:r>
      <w:r w:rsidR="00222981">
        <w:rPr>
          <w:rFonts w:ascii="Arial" w:hAnsi="Arial" w:cs="Arial"/>
          <w:bCs/>
          <w:lang w:val="es-CO"/>
        </w:rPr>
        <w:t xml:space="preserve">inmuebles </w:t>
      </w:r>
      <w:r w:rsidR="00C93518">
        <w:rPr>
          <w:rFonts w:ascii="Arial" w:hAnsi="Arial" w:cs="Arial"/>
          <w:bCs/>
          <w:lang w:val="es-CO"/>
        </w:rPr>
        <w:t xml:space="preserve">fiscales </w:t>
      </w:r>
      <w:r w:rsidR="00EC4E35">
        <w:rPr>
          <w:rFonts w:ascii="Arial" w:hAnsi="Arial" w:cs="Arial"/>
          <w:bCs/>
          <w:lang w:val="es-CO"/>
        </w:rPr>
        <w:t>ocupados ilegalmente</w:t>
      </w:r>
      <w:r w:rsidR="009C4695">
        <w:rPr>
          <w:rFonts w:ascii="Arial" w:hAnsi="Arial" w:cs="Arial"/>
          <w:bCs/>
          <w:lang w:val="es-CO"/>
        </w:rPr>
        <w:t>,</w:t>
      </w:r>
      <w:r w:rsidR="006C2815">
        <w:rPr>
          <w:rFonts w:ascii="Arial" w:hAnsi="Arial" w:cs="Arial"/>
          <w:bCs/>
          <w:lang w:val="es-CO"/>
        </w:rPr>
        <w:t xml:space="preserve"> </w:t>
      </w:r>
      <w:r w:rsidR="009C4695">
        <w:rPr>
          <w:rFonts w:ascii="Arial" w:hAnsi="Arial" w:cs="Arial"/>
          <w:bCs/>
          <w:lang w:val="es-CO"/>
        </w:rPr>
        <w:t>regulad</w:t>
      </w:r>
      <w:r w:rsidR="00380EAC">
        <w:rPr>
          <w:rFonts w:ascii="Arial" w:hAnsi="Arial" w:cs="Arial"/>
          <w:bCs/>
          <w:lang w:val="es-CO"/>
        </w:rPr>
        <w:t>o</w:t>
      </w:r>
      <w:r w:rsidR="00AF1B12">
        <w:rPr>
          <w:rFonts w:ascii="Arial" w:hAnsi="Arial" w:cs="Arial"/>
          <w:bCs/>
          <w:lang w:val="es-CO"/>
        </w:rPr>
        <w:t>s</w:t>
      </w:r>
      <w:r w:rsidR="009C4695">
        <w:rPr>
          <w:rFonts w:ascii="Arial" w:hAnsi="Arial" w:cs="Arial"/>
          <w:bCs/>
          <w:lang w:val="es-CO"/>
        </w:rPr>
        <w:t xml:space="preserve"> en </w:t>
      </w:r>
      <w:r w:rsidR="006C2815" w:rsidRPr="00522476">
        <w:rPr>
          <w:rFonts w:ascii="Arial" w:hAnsi="Arial" w:cs="Arial"/>
        </w:rPr>
        <w:t>el parágrafo 1 del artículo 277 de la Ley 1955 de 2019 y el artículo 14 de la Ley 2044 de 2020</w:t>
      </w:r>
      <w:r w:rsidR="0088393D">
        <w:rPr>
          <w:rFonts w:ascii="Arial" w:hAnsi="Arial" w:cs="Arial"/>
          <w:bCs/>
          <w:lang w:val="es-CO"/>
        </w:rPr>
        <w:t xml:space="preserve">, en específico </w:t>
      </w:r>
      <w:r w:rsidR="00985285">
        <w:rPr>
          <w:rFonts w:ascii="Arial" w:hAnsi="Arial" w:cs="Arial"/>
          <w:bCs/>
          <w:lang w:val="es-CO"/>
        </w:rPr>
        <w:t>frente a</w:t>
      </w:r>
      <w:r w:rsidR="0088393D">
        <w:rPr>
          <w:rFonts w:ascii="Arial" w:hAnsi="Arial" w:cs="Arial"/>
          <w:bCs/>
          <w:lang w:val="es-CO"/>
        </w:rPr>
        <w:t xml:space="preserve"> los bienes adquiridos en virtud de denuncias de vocaciones hereditarias, declaratoria de bienes vacantes o como dación en pago por concepto de parafiscales</w:t>
      </w:r>
      <w:r w:rsidRPr="00DA133A">
        <w:rPr>
          <w:rFonts w:ascii="Arial" w:hAnsi="Arial" w:cs="Arial"/>
          <w:bCs/>
          <w:lang w:val="es-CO"/>
        </w:rPr>
        <w:t xml:space="preserve">. </w:t>
      </w:r>
    </w:p>
    <w:p w14:paraId="3475BD67" w14:textId="77777777" w:rsidR="00596A64" w:rsidRPr="00DA133A" w:rsidRDefault="00596A64" w:rsidP="00CF0D7F">
      <w:pPr>
        <w:spacing w:after="0" w:line="240" w:lineRule="auto"/>
        <w:jc w:val="both"/>
        <w:rPr>
          <w:rFonts w:ascii="Arial" w:hAnsi="Arial" w:cs="Arial"/>
          <w:bCs/>
          <w:lang w:val="es-CO"/>
        </w:rPr>
      </w:pPr>
    </w:p>
    <w:p w14:paraId="79E8C192" w14:textId="3E89504C" w:rsidR="000F6647" w:rsidRDefault="008F404F" w:rsidP="00CF0D7F">
      <w:pPr>
        <w:spacing w:after="0" w:line="240" w:lineRule="auto"/>
        <w:jc w:val="both"/>
        <w:rPr>
          <w:rFonts w:ascii="Arial" w:hAnsi="Arial" w:cs="Arial"/>
          <w:bCs/>
          <w:lang w:val="es-CO"/>
        </w:rPr>
      </w:pPr>
      <w:r w:rsidRPr="00DA133A">
        <w:rPr>
          <w:rFonts w:ascii="Arial" w:hAnsi="Arial" w:cs="Arial"/>
          <w:bCs/>
          <w:lang w:val="es-CO"/>
        </w:rPr>
        <w:t xml:space="preserve">Previo análisis del ordenamiento jurídico vigente y con fundamento en los artículos 23 de la Constitución Política, 26 del Código Civil, 13 y ss. de la Ley 1437 de 2011, sustituidos por la Ley 1755 de 2015, y el numeral </w:t>
      </w:r>
      <w:proofErr w:type="gramStart"/>
      <w:r w:rsidRPr="00DA133A">
        <w:rPr>
          <w:rFonts w:ascii="Arial" w:hAnsi="Arial" w:cs="Arial"/>
          <w:bCs/>
          <w:lang w:val="es-CO"/>
        </w:rPr>
        <w:t>4</w:t>
      </w:r>
      <w:r w:rsidR="00D70004">
        <w:rPr>
          <w:rFonts w:ascii="Arial" w:hAnsi="Arial" w:cs="Arial"/>
          <w:bCs/>
          <w:lang w:val="es-CO"/>
        </w:rPr>
        <w:t>.</w:t>
      </w:r>
      <w:r w:rsidRPr="00DA133A">
        <w:rPr>
          <w:rFonts w:ascii="Arial" w:hAnsi="Arial" w:cs="Arial"/>
          <w:bCs/>
          <w:lang w:val="es-CO"/>
        </w:rPr>
        <w:t>°</w:t>
      </w:r>
      <w:proofErr w:type="gramEnd"/>
      <w:r w:rsidRPr="00DA133A">
        <w:rPr>
          <w:rFonts w:ascii="Arial" w:hAnsi="Arial" w:cs="Arial"/>
          <w:bCs/>
          <w:lang w:val="es-CO"/>
        </w:rPr>
        <w:t xml:space="preserve"> del artículo 6</w:t>
      </w:r>
      <w:r w:rsidR="00D70004">
        <w:rPr>
          <w:rFonts w:ascii="Arial" w:hAnsi="Arial" w:cs="Arial"/>
          <w:bCs/>
          <w:lang w:val="es-CO"/>
        </w:rPr>
        <w:t>.</w:t>
      </w:r>
      <w:r w:rsidRPr="00DA133A">
        <w:rPr>
          <w:rFonts w:ascii="Arial" w:hAnsi="Arial" w:cs="Arial"/>
          <w:bCs/>
          <w:lang w:val="es-CO"/>
        </w:rPr>
        <w:t>° del Decreto 987 de 2012, esta Oficina da respuesta en los siguientes términos:</w:t>
      </w:r>
    </w:p>
    <w:p w14:paraId="6B7851E3" w14:textId="77777777" w:rsidR="00521016" w:rsidRPr="00CF0D7F" w:rsidRDefault="00521016" w:rsidP="00CF0D7F">
      <w:pPr>
        <w:spacing w:after="0" w:line="240" w:lineRule="auto"/>
        <w:jc w:val="both"/>
        <w:rPr>
          <w:rFonts w:ascii="Arial" w:hAnsi="Arial" w:cs="Arial"/>
          <w:bCs/>
          <w:lang w:val="es-CO"/>
        </w:rPr>
      </w:pPr>
    </w:p>
    <w:p w14:paraId="175A4AE7" w14:textId="739894DB" w:rsidR="00F1550D" w:rsidRDefault="008F404F" w:rsidP="00CF0D7F">
      <w:pPr>
        <w:pStyle w:val="Prrafodelista"/>
        <w:numPr>
          <w:ilvl w:val="0"/>
          <w:numId w:val="1"/>
        </w:numPr>
        <w:spacing w:after="0" w:line="240" w:lineRule="auto"/>
        <w:jc w:val="center"/>
        <w:rPr>
          <w:rFonts w:ascii="Arial" w:hAnsi="Arial" w:cs="Arial"/>
          <w:b/>
          <w:bCs/>
          <w:lang w:val="es-CO"/>
        </w:rPr>
      </w:pPr>
      <w:r w:rsidRPr="00F1550D">
        <w:rPr>
          <w:rFonts w:ascii="Arial" w:hAnsi="Arial" w:cs="Arial"/>
          <w:b/>
          <w:bCs/>
          <w:lang w:val="es-CO"/>
        </w:rPr>
        <w:t>PROBLEMA JURÍDICO:</w:t>
      </w:r>
    </w:p>
    <w:p w14:paraId="3F9382E1" w14:textId="77777777" w:rsidR="00596A64" w:rsidRPr="00CF0D7F" w:rsidRDefault="00596A64" w:rsidP="00CF0D7F">
      <w:pPr>
        <w:pStyle w:val="Prrafodelista"/>
        <w:spacing w:after="0" w:line="240" w:lineRule="auto"/>
        <w:rPr>
          <w:rFonts w:ascii="Arial" w:hAnsi="Arial" w:cs="Arial"/>
          <w:b/>
          <w:bCs/>
          <w:lang w:val="es-CO"/>
        </w:rPr>
      </w:pPr>
    </w:p>
    <w:p w14:paraId="29E68644" w14:textId="6DA27822" w:rsidR="006775AA" w:rsidRDefault="006A12BC" w:rsidP="00CF0D7F">
      <w:pPr>
        <w:spacing w:after="0" w:line="240" w:lineRule="auto"/>
        <w:jc w:val="both"/>
        <w:rPr>
          <w:rFonts w:ascii="Arial" w:hAnsi="Arial" w:cs="Arial"/>
          <w:lang w:val="es-CO"/>
        </w:rPr>
      </w:pPr>
      <w:r>
        <w:rPr>
          <w:rFonts w:ascii="Arial" w:hAnsi="Arial" w:cs="Arial"/>
          <w:lang w:val="es-CO"/>
        </w:rPr>
        <w:t xml:space="preserve">En atención a lo </w:t>
      </w:r>
      <w:r w:rsidR="00DC2756">
        <w:rPr>
          <w:rFonts w:ascii="Arial" w:hAnsi="Arial" w:cs="Arial"/>
          <w:lang w:val="es-CO"/>
        </w:rPr>
        <w:t>dispuesto</w:t>
      </w:r>
      <w:r>
        <w:rPr>
          <w:rFonts w:ascii="Arial" w:hAnsi="Arial" w:cs="Arial"/>
          <w:lang w:val="es-CO"/>
        </w:rPr>
        <w:t xml:space="preserve"> en el </w:t>
      </w:r>
      <w:r w:rsidRPr="00522476">
        <w:rPr>
          <w:rFonts w:ascii="Arial" w:hAnsi="Arial" w:cs="Arial"/>
        </w:rPr>
        <w:t>parágrafo 2 del artículo 2</w:t>
      </w:r>
      <w:r>
        <w:rPr>
          <w:rFonts w:ascii="Arial" w:hAnsi="Arial" w:cs="Arial"/>
        </w:rPr>
        <w:t>.</w:t>
      </w:r>
      <w:r w:rsidRPr="00522476">
        <w:rPr>
          <w:rFonts w:ascii="Arial" w:hAnsi="Arial" w:cs="Arial"/>
        </w:rPr>
        <w:t>1.2.2.2.13 del Decreto 1077 de 2015 (modificado por el Decreto 523 de 2021)</w:t>
      </w:r>
      <w:r>
        <w:rPr>
          <w:rFonts w:ascii="Arial" w:hAnsi="Arial" w:cs="Arial"/>
        </w:rPr>
        <w:t xml:space="preserve"> </w:t>
      </w:r>
      <w:r w:rsidR="000E1F68">
        <w:rPr>
          <w:rFonts w:ascii="Arial" w:hAnsi="Arial" w:cs="Arial"/>
          <w:lang w:val="es-CO"/>
        </w:rPr>
        <w:t>¿</w:t>
      </w:r>
      <w:r w:rsidR="000B10B5">
        <w:rPr>
          <w:rFonts w:ascii="Arial" w:hAnsi="Arial" w:cs="Arial"/>
          <w:lang w:val="es-CO"/>
        </w:rPr>
        <w:t>e</w:t>
      </w:r>
      <w:r>
        <w:rPr>
          <w:rFonts w:ascii="Arial" w:hAnsi="Arial" w:cs="Arial"/>
          <w:lang w:val="es-CO"/>
        </w:rPr>
        <w:t xml:space="preserve">l Instituto Colombiano de Bienestar Familiar </w:t>
      </w:r>
      <w:r w:rsidR="00DC2756">
        <w:rPr>
          <w:rFonts w:ascii="Arial" w:hAnsi="Arial" w:cs="Arial"/>
          <w:lang w:val="es-CO"/>
        </w:rPr>
        <w:t xml:space="preserve">debe realizar </w:t>
      </w:r>
      <w:r w:rsidR="000E1F68">
        <w:rPr>
          <w:rFonts w:ascii="Arial" w:hAnsi="Arial" w:cs="Arial"/>
          <w:lang w:val="es-CO"/>
        </w:rPr>
        <w:t xml:space="preserve">las enajenaciones directas de inmuebles fiscales </w:t>
      </w:r>
      <w:r w:rsidR="00EC4E35">
        <w:rPr>
          <w:rFonts w:ascii="Arial" w:hAnsi="Arial" w:cs="Arial"/>
          <w:lang w:val="es-CO"/>
        </w:rPr>
        <w:t>ocupados ilegalmente</w:t>
      </w:r>
      <w:r w:rsidR="006C2815">
        <w:rPr>
          <w:rFonts w:ascii="Arial" w:hAnsi="Arial" w:cs="Arial"/>
          <w:lang w:val="es-CO"/>
        </w:rPr>
        <w:t xml:space="preserve"> </w:t>
      </w:r>
      <w:r w:rsidR="006C2815">
        <w:rPr>
          <w:rFonts w:ascii="Arial" w:hAnsi="Arial" w:cs="Arial"/>
          <w:bCs/>
          <w:lang w:val="es-CO"/>
        </w:rPr>
        <w:t xml:space="preserve">que tratan </w:t>
      </w:r>
      <w:r w:rsidR="006C2815" w:rsidRPr="00522476">
        <w:rPr>
          <w:rFonts w:ascii="Arial" w:hAnsi="Arial" w:cs="Arial"/>
        </w:rPr>
        <w:t>el parágrafo 1 del artículo 277 de la Ley 1955 de 2019 y el artículo 14 de la Ley 2044 de 2020</w:t>
      </w:r>
      <w:r w:rsidR="006C2815">
        <w:rPr>
          <w:rFonts w:ascii="Arial" w:hAnsi="Arial" w:cs="Arial"/>
        </w:rPr>
        <w:t>,</w:t>
      </w:r>
      <w:r w:rsidR="000E1F68">
        <w:rPr>
          <w:rFonts w:ascii="Arial" w:hAnsi="Arial" w:cs="Arial"/>
          <w:lang w:val="es-CO"/>
        </w:rPr>
        <w:t xml:space="preserve"> </w:t>
      </w:r>
      <w:r w:rsidR="00205858">
        <w:rPr>
          <w:rFonts w:ascii="Arial" w:hAnsi="Arial" w:cs="Arial"/>
        </w:rPr>
        <w:t>relacionadas</w:t>
      </w:r>
      <w:r w:rsidR="006C2815">
        <w:rPr>
          <w:rFonts w:ascii="Arial" w:hAnsi="Arial" w:cs="Arial"/>
        </w:rPr>
        <w:t xml:space="preserve"> </w:t>
      </w:r>
      <w:r w:rsidR="00205858">
        <w:rPr>
          <w:rFonts w:ascii="Arial" w:hAnsi="Arial" w:cs="Arial"/>
        </w:rPr>
        <w:t xml:space="preserve">con bienes adquiridos </w:t>
      </w:r>
      <w:r w:rsidR="00821F77">
        <w:rPr>
          <w:rFonts w:ascii="Arial" w:hAnsi="Arial" w:cs="Arial"/>
        </w:rPr>
        <w:t>por</w:t>
      </w:r>
      <w:r w:rsidR="00205858">
        <w:rPr>
          <w:rFonts w:ascii="Arial" w:hAnsi="Arial" w:cs="Arial"/>
        </w:rPr>
        <w:t xml:space="preserve"> </w:t>
      </w:r>
      <w:r w:rsidR="000F6647">
        <w:rPr>
          <w:rFonts w:ascii="Arial" w:hAnsi="Arial" w:cs="Arial"/>
        </w:rPr>
        <w:t xml:space="preserve">su </w:t>
      </w:r>
      <w:r w:rsidR="00205858">
        <w:rPr>
          <w:rFonts w:ascii="Arial" w:hAnsi="Arial" w:cs="Arial"/>
        </w:rPr>
        <w:t>vocaci</w:t>
      </w:r>
      <w:r w:rsidR="00F006A7">
        <w:rPr>
          <w:rFonts w:ascii="Arial" w:hAnsi="Arial" w:cs="Arial"/>
        </w:rPr>
        <w:t>ón</w:t>
      </w:r>
      <w:r w:rsidR="00205858">
        <w:rPr>
          <w:rFonts w:ascii="Arial" w:hAnsi="Arial" w:cs="Arial"/>
        </w:rPr>
        <w:t xml:space="preserve"> hereditaria, declaratoria de bienes vacantes o como</w:t>
      </w:r>
      <w:r w:rsidR="00C25C3E">
        <w:rPr>
          <w:rFonts w:ascii="Arial" w:hAnsi="Arial" w:cs="Arial"/>
        </w:rPr>
        <w:t xml:space="preserve"> dación en pago por concepto de parafiscales,</w:t>
      </w:r>
      <w:r w:rsidR="000E1F68">
        <w:rPr>
          <w:rFonts w:ascii="Arial" w:hAnsi="Arial" w:cs="Arial"/>
        </w:rPr>
        <w:t xml:space="preserve"> </w:t>
      </w:r>
      <w:r>
        <w:rPr>
          <w:rFonts w:ascii="Arial" w:hAnsi="Arial" w:cs="Arial"/>
        </w:rPr>
        <w:t xml:space="preserve">a través de </w:t>
      </w:r>
      <w:r w:rsidR="00DC2756">
        <w:rPr>
          <w:rFonts w:ascii="Arial" w:hAnsi="Arial" w:cs="Arial"/>
        </w:rPr>
        <w:t>la Central de Inversiones S.</w:t>
      </w:r>
      <w:r w:rsidR="000B10B5">
        <w:rPr>
          <w:rFonts w:ascii="Arial" w:hAnsi="Arial" w:cs="Arial"/>
        </w:rPr>
        <w:t xml:space="preserve"> </w:t>
      </w:r>
      <w:r w:rsidR="00DC2756">
        <w:rPr>
          <w:rFonts w:ascii="Arial" w:hAnsi="Arial" w:cs="Arial"/>
        </w:rPr>
        <w:t>A</w:t>
      </w:r>
      <w:r w:rsidR="000B10B5">
        <w:rPr>
          <w:rFonts w:ascii="Arial" w:hAnsi="Arial" w:cs="Arial"/>
        </w:rPr>
        <w:t>.</w:t>
      </w:r>
      <w:r w:rsidR="00DC2756">
        <w:rPr>
          <w:rFonts w:ascii="Arial" w:hAnsi="Arial" w:cs="Arial"/>
        </w:rPr>
        <w:t xml:space="preserve"> (</w:t>
      </w:r>
      <w:r w:rsidR="000B10B5">
        <w:rPr>
          <w:rFonts w:ascii="Arial" w:hAnsi="Arial" w:cs="Arial"/>
        </w:rPr>
        <w:t xml:space="preserve">en adelante </w:t>
      </w:r>
      <w:r>
        <w:rPr>
          <w:rFonts w:ascii="Arial" w:hAnsi="Arial" w:cs="Arial"/>
        </w:rPr>
        <w:t>CISA</w:t>
      </w:r>
      <w:r w:rsidR="00DC2756">
        <w:rPr>
          <w:rFonts w:ascii="Arial" w:hAnsi="Arial" w:cs="Arial"/>
        </w:rPr>
        <w:t>)</w:t>
      </w:r>
      <w:r w:rsidR="0072339B">
        <w:rPr>
          <w:rFonts w:ascii="Arial" w:hAnsi="Arial" w:cs="Arial"/>
        </w:rPr>
        <w:t xml:space="preserve">, o existe un </w:t>
      </w:r>
      <w:r w:rsidR="0074497A">
        <w:rPr>
          <w:rFonts w:ascii="Arial" w:hAnsi="Arial" w:cs="Arial"/>
        </w:rPr>
        <w:t>marco normativo</w:t>
      </w:r>
      <w:r w:rsidR="0072339B">
        <w:rPr>
          <w:rFonts w:ascii="Arial" w:hAnsi="Arial" w:cs="Arial"/>
        </w:rPr>
        <w:t xml:space="preserve"> especial</w:t>
      </w:r>
      <w:r w:rsidR="0074497A">
        <w:rPr>
          <w:rFonts w:ascii="Arial" w:hAnsi="Arial" w:cs="Arial"/>
        </w:rPr>
        <w:t xml:space="preserve"> que le permita al Instituto llevarlas a cabo de manera directa</w:t>
      </w:r>
      <w:r w:rsidR="000E1F68">
        <w:rPr>
          <w:rFonts w:ascii="Arial" w:hAnsi="Arial" w:cs="Arial"/>
        </w:rPr>
        <w:t>?</w:t>
      </w:r>
      <w:r w:rsidR="00EF4D7E">
        <w:rPr>
          <w:rFonts w:ascii="Arial" w:hAnsi="Arial" w:cs="Arial"/>
          <w:lang w:val="es-CO"/>
        </w:rPr>
        <w:t xml:space="preserve">  </w:t>
      </w:r>
    </w:p>
    <w:p w14:paraId="73F603E9" w14:textId="77777777" w:rsidR="00914F44" w:rsidRPr="00CF0D7F" w:rsidRDefault="00914F44" w:rsidP="00CF0D7F">
      <w:pPr>
        <w:spacing w:after="0" w:line="240" w:lineRule="auto"/>
        <w:jc w:val="both"/>
        <w:rPr>
          <w:rFonts w:ascii="Arial" w:hAnsi="Arial" w:cs="Arial"/>
          <w:lang w:val="es-CO"/>
        </w:rPr>
      </w:pPr>
    </w:p>
    <w:p w14:paraId="4D2E683C" w14:textId="751F2CE9" w:rsidR="00C93518" w:rsidRPr="00560E0B" w:rsidRDefault="00C93518" w:rsidP="00CF0D7F">
      <w:pPr>
        <w:pStyle w:val="Prrafodelista"/>
        <w:numPr>
          <w:ilvl w:val="0"/>
          <w:numId w:val="1"/>
        </w:numPr>
        <w:spacing w:after="0" w:line="240" w:lineRule="auto"/>
        <w:jc w:val="center"/>
        <w:rPr>
          <w:rFonts w:ascii="Arial" w:eastAsia="Times New Roman" w:hAnsi="Arial" w:cs="Arial"/>
          <w:lang w:val="es-CO" w:eastAsia="es-CO"/>
        </w:rPr>
      </w:pPr>
      <w:r w:rsidRPr="00560E0B">
        <w:rPr>
          <w:rFonts w:ascii="Arial" w:eastAsia="Times New Roman" w:hAnsi="Arial" w:cs="Arial"/>
          <w:b/>
          <w:bCs/>
          <w:lang w:val="es-CO" w:eastAsia="es-CO"/>
        </w:rPr>
        <w:t>RUTA METODOLÓGICA PARA RESPONDER EL PROBLEMA JURÍDICO:</w:t>
      </w:r>
    </w:p>
    <w:p w14:paraId="086192FA" w14:textId="77777777" w:rsidR="00C93518" w:rsidRPr="00CF0D7F" w:rsidRDefault="00C93518" w:rsidP="00CF0D7F">
      <w:pPr>
        <w:spacing w:after="0" w:line="240" w:lineRule="auto"/>
        <w:ind w:left="720"/>
        <w:jc w:val="both"/>
        <w:rPr>
          <w:rFonts w:ascii="Arial" w:eastAsia="Times New Roman" w:hAnsi="Arial" w:cs="Arial"/>
          <w:lang w:val="es-CO" w:eastAsia="es-CO"/>
        </w:rPr>
      </w:pPr>
    </w:p>
    <w:p w14:paraId="225037BF" w14:textId="280B39EF" w:rsidR="00C93518" w:rsidRDefault="00C93518" w:rsidP="00CF0D7F">
      <w:pPr>
        <w:spacing w:after="0" w:line="240" w:lineRule="auto"/>
        <w:jc w:val="both"/>
        <w:rPr>
          <w:rFonts w:ascii="Arial" w:eastAsia="Times New Roman" w:hAnsi="Arial" w:cs="Arial"/>
          <w:lang w:val="es-CO" w:eastAsia="es-CO"/>
        </w:rPr>
      </w:pPr>
      <w:r w:rsidRPr="00215E8C">
        <w:rPr>
          <w:rFonts w:ascii="Arial" w:eastAsia="Times New Roman" w:hAnsi="Arial" w:cs="Arial"/>
          <w:lang w:val="es-CO" w:eastAsia="es-CO"/>
        </w:rPr>
        <w:t>Para dar respuesta al problema planteado: (i) se establecerá</w:t>
      </w:r>
      <w:r w:rsidR="00275A96">
        <w:rPr>
          <w:rFonts w:ascii="Arial" w:eastAsia="Times New Roman" w:hAnsi="Arial" w:cs="Arial"/>
          <w:lang w:val="es-CO" w:eastAsia="es-CO"/>
        </w:rPr>
        <w:t>n los antecedentes</w:t>
      </w:r>
      <w:r w:rsidR="00DA4A20">
        <w:rPr>
          <w:rFonts w:ascii="Arial" w:eastAsia="Times New Roman" w:hAnsi="Arial" w:cs="Arial"/>
          <w:lang w:val="es-CO" w:eastAsia="es-CO"/>
        </w:rPr>
        <w:t>,</w:t>
      </w:r>
      <w:r w:rsidR="00275A96">
        <w:rPr>
          <w:rFonts w:ascii="Arial" w:eastAsia="Times New Roman" w:hAnsi="Arial" w:cs="Arial"/>
          <w:lang w:val="es-CO" w:eastAsia="es-CO"/>
        </w:rPr>
        <w:t xml:space="preserve"> (</w:t>
      </w:r>
      <w:proofErr w:type="spellStart"/>
      <w:r w:rsidR="00275A96">
        <w:rPr>
          <w:rFonts w:ascii="Arial" w:eastAsia="Times New Roman" w:hAnsi="Arial" w:cs="Arial"/>
          <w:lang w:val="es-CO" w:eastAsia="es-CO"/>
        </w:rPr>
        <w:t>ii</w:t>
      </w:r>
      <w:proofErr w:type="spellEnd"/>
      <w:r w:rsidR="00275A96">
        <w:rPr>
          <w:rFonts w:ascii="Arial" w:eastAsia="Times New Roman" w:hAnsi="Arial" w:cs="Arial"/>
          <w:lang w:val="es-CO" w:eastAsia="es-CO"/>
        </w:rPr>
        <w:t>)</w:t>
      </w:r>
      <w:r w:rsidRPr="00215E8C">
        <w:rPr>
          <w:rFonts w:ascii="Arial" w:eastAsia="Times New Roman" w:hAnsi="Arial" w:cs="Arial"/>
          <w:lang w:val="es-CO" w:eastAsia="es-CO"/>
        </w:rPr>
        <w:t xml:space="preserve"> </w:t>
      </w:r>
      <w:r w:rsidR="00275A96">
        <w:rPr>
          <w:rFonts w:ascii="Arial" w:eastAsia="Times New Roman" w:hAnsi="Arial" w:cs="Arial"/>
          <w:lang w:val="es-CO" w:eastAsia="es-CO"/>
        </w:rPr>
        <w:t xml:space="preserve">se determinará </w:t>
      </w:r>
      <w:r w:rsidRPr="00215E8C">
        <w:rPr>
          <w:rFonts w:ascii="Arial" w:eastAsia="Times New Roman" w:hAnsi="Arial" w:cs="Arial"/>
          <w:lang w:val="es-CO" w:eastAsia="es-CO"/>
        </w:rPr>
        <w:t>el marco jurídico aplicable</w:t>
      </w:r>
      <w:r w:rsidR="003C7697">
        <w:rPr>
          <w:rFonts w:ascii="Arial" w:eastAsia="Times New Roman" w:hAnsi="Arial" w:cs="Arial"/>
          <w:lang w:val="es-CO" w:eastAsia="es-CO"/>
        </w:rPr>
        <w:t xml:space="preserve"> con su</w:t>
      </w:r>
      <w:r w:rsidRPr="00215E8C">
        <w:rPr>
          <w:rFonts w:ascii="Arial" w:eastAsia="Times New Roman" w:hAnsi="Arial" w:cs="Arial"/>
          <w:lang w:val="es-CO" w:eastAsia="es-CO"/>
        </w:rPr>
        <w:t xml:space="preserve"> respectivo análisis jurídico y finalmente (</w:t>
      </w:r>
      <w:proofErr w:type="spellStart"/>
      <w:r w:rsidR="00275A96">
        <w:rPr>
          <w:rFonts w:ascii="Arial" w:eastAsia="Times New Roman" w:hAnsi="Arial" w:cs="Arial"/>
          <w:lang w:val="es-CO" w:eastAsia="es-CO"/>
        </w:rPr>
        <w:t>i</w:t>
      </w:r>
      <w:r w:rsidR="003C7697">
        <w:rPr>
          <w:rFonts w:ascii="Arial" w:eastAsia="Times New Roman" w:hAnsi="Arial" w:cs="Arial"/>
          <w:lang w:val="es-CO" w:eastAsia="es-CO"/>
        </w:rPr>
        <w:t>ii</w:t>
      </w:r>
      <w:proofErr w:type="spellEnd"/>
      <w:r w:rsidRPr="00215E8C">
        <w:rPr>
          <w:rFonts w:ascii="Arial" w:eastAsia="Times New Roman" w:hAnsi="Arial" w:cs="Arial"/>
          <w:lang w:val="es-CO" w:eastAsia="es-CO"/>
        </w:rPr>
        <w:t xml:space="preserve">) se </w:t>
      </w:r>
      <w:r w:rsidR="00DA4A20">
        <w:rPr>
          <w:rFonts w:ascii="Arial" w:eastAsia="Times New Roman" w:hAnsi="Arial" w:cs="Arial"/>
          <w:lang w:val="es-CO" w:eastAsia="es-CO"/>
        </w:rPr>
        <w:t xml:space="preserve">dará </w:t>
      </w:r>
      <w:r w:rsidR="00F1550D">
        <w:rPr>
          <w:rFonts w:ascii="Arial" w:eastAsia="Times New Roman" w:hAnsi="Arial" w:cs="Arial"/>
          <w:lang w:val="es-CO" w:eastAsia="es-CO"/>
        </w:rPr>
        <w:t>respuesta al interrogante</w:t>
      </w:r>
      <w:r w:rsidRPr="00215E8C">
        <w:rPr>
          <w:rFonts w:ascii="Arial" w:eastAsia="Times New Roman" w:hAnsi="Arial" w:cs="Arial"/>
          <w:lang w:val="es-CO" w:eastAsia="es-CO"/>
        </w:rPr>
        <w:t>.</w:t>
      </w:r>
    </w:p>
    <w:p w14:paraId="51BA3DCB" w14:textId="70E188E2" w:rsidR="00D40A47" w:rsidRDefault="00D40A47" w:rsidP="00CF0D7F">
      <w:pPr>
        <w:spacing w:after="0" w:line="240" w:lineRule="auto"/>
        <w:jc w:val="both"/>
        <w:rPr>
          <w:rFonts w:ascii="Arial" w:eastAsia="Times New Roman" w:hAnsi="Arial" w:cs="Arial"/>
          <w:lang w:val="es-CO" w:eastAsia="es-CO"/>
        </w:rPr>
      </w:pPr>
    </w:p>
    <w:p w14:paraId="174D34C6" w14:textId="77777777" w:rsidR="00D40A47" w:rsidRDefault="00D40A47" w:rsidP="00CF0D7F">
      <w:pPr>
        <w:spacing w:after="0" w:line="240" w:lineRule="auto"/>
        <w:jc w:val="both"/>
        <w:rPr>
          <w:rFonts w:ascii="Arial" w:eastAsia="Times New Roman" w:hAnsi="Arial" w:cs="Arial"/>
          <w:lang w:val="es-CO" w:eastAsia="es-CO"/>
        </w:rPr>
      </w:pPr>
    </w:p>
    <w:p w14:paraId="3AF8F3E8" w14:textId="77777777" w:rsidR="00987DB7" w:rsidRPr="00CF0D7F" w:rsidRDefault="00987DB7" w:rsidP="00CF0D7F">
      <w:pPr>
        <w:spacing w:after="0" w:line="240" w:lineRule="auto"/>
        <w:jc w:val="both"/>
        <w:rPr>
          <w:rFonts w:ascii="Arial" w:eastAsia="Times New Roman" w:hAnsi="Arial" w:cs="Arial"/>
          <w:sz w:val="20"/>
          <w:szCs w:val="20"/>
          <w:lang w:val="es-CO" w:eastAsia="es-CO"/>
        </w:rPr>
      </w:pPr>
    </w:p>
    <w:p w14:paraId="75D23816" w14:textId="77777777" w:rsidR="00C93518" w:rsidRPr="00215E8C" w:rsidRDefault="00C93518" w:rsidP="00CF0D7F">
      <w:pPr>
        <w:pStyle w:val="Prrafodelista"/>
        <w:numPr>
          <w:ilvl w:val="1"/>
          <w:numId w:val="3"/>
        </w:numPr>
        <w:spacing w:after="0" w:line="240" w:lineRule="auto"/>
        <w:jc w:val="center"/>
        <w:rPr>
          <w:rFonts w:ascii="Arial" w:eastAsia="Times New Roman" w:hAnsi="Arial" w:cs="Arial"/>
          <w:b/>
          <w:lang w:val="es-CO" w:eastAsia="es-CO"/>
        </w:rPr>
      </w:pPr>
      <w:r w:rsidRPr="00215E8C">
        <w:rPr>
          <w:rFonts w:ascii="Arial" w:eastAsia="Times New Roman" w:hAnsi="Arial" w:cs="Arial"/>
          <w:b/>
          <w:lang w:val="es-CO" w:eastAsia="es-CO"/>
        </w:rPr>
        <w:lastRenderedPageBreak/>
        <w:t>ANTECEDENTES:</w:t>
      </w:r>
    </w:p>
    <w:p w14:paraId="6BE6E1EF" w14:textId="77777777" w:rsidR="008F404F" w:rsidRPr="00CF0D7F" w:rsidRDefault="008F404F" w:rsidP="00CF0D7F">
      <w:pPr>
        <w:spacing w:after="0" w:line="240" w:lineRule="auto"/>
        <w:rPr>
          <w:rFonts w:ascii="Arial" w:hAnsi="Arial" w:cs="Arial"/>
          <w:sz w:val="20"/>
          <w:szCs w:val="20"/>
        </w:rPr>
      </w:pPr>
    </w:p>
    <w:p w14:paraId="4EA05A07" w14:textId="02C459B0" w:rsidR="00C13820" w:rsidRPr="00522476" w:rsidRDefault="006775AA" w:rsidP="00CF0D7F">
      <w:pPr>
        <w:spacing w:after="0" w:line="240" w:lineRule="auto"/>
        <w:jc w:val="both"/>
        <w:rPr>
          <w:rFonts w:ascii="Arial" w:hAnsi="Arial" w:cs="Arial"/>
        </w:rPr>
      </w:pPr>
      <w:r>
        <w:rPr>
          <w:rFonts w:ascii="Arial" w:hAnsi="Arial" w:cs="Arial"/>
        </w:rPr>
        <w:t xml:space="preserve">Mediante </w:t>
      </w:r>
      <w:r w:rsidR="00C13820" w:rsidRPr="00522476">
        <w:rPr>
          <w:rFonts w:ascii="Arial" w:hAnsi="Arial" w:cs="Arial"/>
        </w:rPr>
        <w:t>correo electrónico del 31 de mayo del 2021</w:t>
      </w:r>
      <w:r w:rsidR="00400685">
        <w:rPr>
          <w:rFonts w:ascii="Arial" w:hAnsi="Arial" w:cs="Arial"/>
        </w:rPr>
        <w:t>, la Dirección Administrativa eleva una solicitud de concepto</w:t>
      </w:r>
      <w:r w:rsidR="004A5557">
        <w:rPr>
          <w:rFonts w:ascii="Arial" w:hAnsi="Arial" w:cs="Arial"/>
        </w:rPr>
        <w:t xml:space="preserve"> a esta Oficina,</w:t>
      </w:r>
      <w:r w:rsidR="00400685">
        <w:rPr>
          <w:rFonts w:ascii="Arial" w:hAnsi="Arial" w:cs="Arial"/>
        </w:rPr>
        <w:t xml:space="preserve"> </w:t>
      </w:r>
      <w:r w:rsidR="00C13820" w:rsidRPr="00522476">
        <w:rPr>
          <w:rFonts w:ascii="Arial" w:hAnsi="Arial" w:cs="Arial"/>
        </w:rPr>
        <w:t>con motivo de lo dispuesto en el parágrafo 2 del artículo 2.1.2.2.2.13 del Decreto 1077 de 2015 (modificado por el Decreto 523 de 2021)</w:t>
      </w:r>
      <w:r w:rsidR="00400685">
        <w:rPr>
          <w:rFonts w:ascii="Arial" w:hAnsi="Arial" w:cs="Arial"/>
        </w:rPr>
        <w:t xml:space="preserve">, </w:t>
      </w:r>
      <w:r w:rsidR="00DA4A20">
        <w:rPr>
          <w:rFonts w:ascii="Arial" w:hAnsi="Arial" w:cs="Arial"/>
        </w:rPr>
        <w:t xml:space="preserve">e indica </w:t>
      </w:r>
      <w:r w:rsidR="00400685">
        <w:rPr>
          <w:rFonts w:ascii="Arial" w:hAnsi="Arial" w:cs="Arial"/>
        </w:rPr>
        <w:t>lo siguiente:</w:t>
      </w:r>
    </w:p>
    <w:p w14:paraId="28C6B67A" w14:textId="77777777" w:rsidR="00F1550D" w:rsidRPr="00522476" w:rsidRDefault="00F1550D" w:rsidP="00CF0D7F">
      <w:pPr>
        <w:spacing w:after="0" w:line="240" w:lineRule="auto"/>
        <w:jc w:val="both"/>
        <w:rPr>
          <w:rFonts w:ascii="Arial" w:hAnsi="Arial" w:cs="Arial"/>
        </w:rPr>
      </w:pPr>
    </w:p>
    <w:p w14:paraId="2248329C" w14:textId="075185A2" w:rsidR="00C13820" w:rsidRPr="00522476" w:rsidRDefault="00C13820" w:rsidP="00CF0D7F">
      <w:pPr>
        <w:tabs>
          <w:tab w:val="left" w:pos="8647"/>
        </w:tabs>
        <w:spacing w:after="0" w:line="240" w:lineRule="auto"/>
        <w:ind w:left="426" w:right="474"/>
        <w:jc w:val="both"/>
        <w:rPr>
          <w:rFonts w:ascii="Arial" w:hAnsi="Arial" w:cs="Arial"/>
          <w:sz w:val="20"/>
        </w:rPr>
      </w:pPr>
      <w:r w:rsidRPr="00522476">
        <w:rPr>
          <w:rFonts w:ascii="Arial" w:hAnsi="Arial" w:cs="Arial"/>
          <w:sz w:val="20"/>
        </w:rPr>
        <w:t xml:space="preserve">“A la luz del decreto mencionado, las enajenaciones que el ICBF pretenda realizar en aplicación de las leyes citadas [parágrafo 1 del artículo 277 de la ley 1955 de 2019 y artículo 14 de la Ley 2044 de 2020] deberán llevarse a cabo mediante CISA, para lo cual, entendemos deberá movilizarse dicho </w:t>
      </w:r>
      <w:r w:rsidR="005C5821">
        <w:rPr>
          <w:rFonts w:ascii="Arial" w:hAnsi="Arial" w:cs="Arial"/>
          <w:sz w:val="20"/>
        </w:rPr>
        <w:t xml:space="preserve">[sic] </w:t>
      </w:r>
      <w:r w:rsidRPr="00522476">
        <w:rPr>
          <w:rFonts w:ascii="Arial" w:hAnsi="Arial" w:cs="Arial"/>
          <w:sz w:val="20"/>
        </w:rPr>
        <w:t>inmuebles para que sea esa entidad quien realice las ventas.</w:t>
      </w:r>
    </w:p>
    <w:p w14:paraId="46CA5B85" w14:textId="77777777" w:rsidR="00C13820" w:rsidRPr="00522476" w:rsidRDefault="00C13820" w:rsidP="00CF0D7F">
      <w:pPr>
        <w:tabs>
          <w:tab w:val="left" w:pos="8647"/>
        </w:tabs>
        <w:spacing w:after="0" w:line="240" w:lineRule="auto"/>
        <w:ind w:left="426" w:right="474"/>
        <w:jc w:val="both"/>
        <w:rPr>
          <w:rFonts w:ascii="Arial" w:hAnsi="Arial" w:cs="Arial"/>
          <w:sz w:val="20"/>
        </w:rPr>
      </w:pPr>
    </w:p>
    <w:p w14:paraId="5C25D6C8" w14:textId="77777777" w:rsidR="00C13820" w:rsidRPr="00522476" w:rsidRDefault="00C13820" w:rsidP="00CF0D7F">
      <w:pPr>
        <w:tabs>
          <w:tab w:val="left" w:pos="8647"/>
        </w:tabs>
        <w:spacing w:after="0" w:line="240" w:lineRule="auto"/>
        <w:ind w:left="426" w:right="474"/>
        <w:jc w:val="both"/>
        <w:rPr>
          <w:rFonts w:ascii="Arial" w:hAnsi="Arial" w:cs="Arial"/>
          <w:sz w:val="20"/>
        </w:rPr>
      </w:pPr>
      <w:r w:rsidRPr="00522476">
        <w:rPr>
          <w:rFonts w:ascii="Arial" w:hAnsi="Arial" w:cs="Arial"/>
          <w:sz w:val="20"/>
        </w:rPr>
        <w:t xml:space="preserve">Ahora bien, teniendo en cuenta los sendos conceptos que la OAJ ha proferido respecto de que el ICBF no se encuentra obligado a transferir a CISA los bienes inmuebles adquiridos en virtud de vocación hereditaria, declaratoria de vacancia y dación en pago por concepto de parafiscales para su gestión y venta por cuanto, </w:t>
      </w:r>
      <w:r w:rsidRPr="00CF0D7F">
        <w:rPr>
          <w:rFonts w:ascii="Arial" w:hAnsi="Arial" w:cs="Arial"/>
          <w:sz w:val="20"/>
        </w:rPr>
        <w:t>estos cuentan con una destinación específica</w:t>
      </w:r>
      <w:r w:rsidRPr="00522476">
        <w:rPr>
          <w:rFonts w:ascii="Arial" w:hAnsi="Arial" w:cs="Arial"/>
          <w:sz w:val="20"/>
        </w:rPr>
        <w:t xml:space="preserve"> relacionada con que los mismos </w:t>
      </w:r>
      <w:r w:rsidRPr="00CF0D7F">
        <w:rPr>
          <w:rFonts w:ascii="Arial" w:hAnsi="Arial" w:cs="Arial"/>
          <w:sz w:val="20"/>
        </w:rPr>
        <w:t>hacen parte del presupuesto de la entidad y la finalidad de que el legislador</w:t>
      </w:r>
      <w:r w:rsidRPr="00522476">
        <w:rPr>
          <w:rFonts w:ascii="Arial" w:hAnsi="Arial" w:cs="Arial"/>
          <w:sz w:val="20"/>
        </w:rPr>
        <w:t xml:space="preserve"> haya consagrado estos derechos en favor del ICBF es que los recursos que se obtengan de sus ventas se destinen para el fortalecimiento de los programas misionales cuando el bien en sí mismo no sea apto para el desarrollo de éstos, </w:t>
      </w:r>
      <w:r w:rsidRPr="00CF0D7F">
        <w:rPr>
          <w:rFonts w:ascii="Arial" w:hAnsi="Arial" w:cs="Arial"/>
          <w:sz w:val="20"/>
        </w:rPr>
        <w:t>razón por la cual el ICBF realiza de manera directa la enajenación de éstos</w:t>
      </w:r>
      <w:r w:rsidRPr="00522476">
        <w:rPr>
          <w:rFonts w:ascii="Arial" w:hAnsi="Arial" w:cs="Arial"/>
          <w:sz w:val="20"/>
        </w:rPr>
        <w:t xml:space="preserve">. Frente a la normativa señalada, específicamente el decreto 523 de 2021, surge la inquietud de si las ventas de inmuebles cuyos orígenes hayan sido los descritos anteriormente y que se realicen en cumplimiento del artículo 277 de la ley 1955 de 2019 y 14 de la ley 2044 de 2020, las podrá realizar el ICBF de manera directa </w:t>
      </w:r>
      <w:r w:rsidRPr="00CF0D7F">
        <w:rPr>
          <w:rFonts w:ascii="Arial" w:hAnsi="Arial" w:cs="Arial"/>
          <w:sz w:val="20"/>
        </w:rPr>
        <w:t>siguiendo la línea que respecto a CISA ha trazado la OAJ</w:t>
      </w:r>
      <w:r w:rsidRPr="00522476">
        <w:rPr>
          <w:rFonts w:ascii="Arial" w:hAnsi="Arial" w:cs="Arial"/>
          <w:sz w:val="20"/>
        </w:rPr>
        <w:t xml:space="preserve"> o, </w:t>
      </w:r>
      <w:proofErr w:type="gramStart"/>
      <w:r w:rsidRPr="00522476">
        <w:rPr>
          <w:rFonts w:ascii="Arial" w:hAnsi="Arial" w:cs="Arial"/>
          <w:sz w:val="20"/>
        </w:rPr>
        <w:t>si</w:t>
      </w:r>
      <w:proofErr w:type="gramEnd"/>
      <w:r w:rsidRPr="00522476">
        <w:rPr>
          <w:rFonts w:ascii="Arial" w:hAnsi="Arial" w:cs="Arial"/>
          <w:sz w:val="20"/>
        </w:rPr>
        <w:t xml:space="preserve"> por el contrario, para lograr la venta de los mismos es necesario movilizar los bienes a dicha entidad.</w:t>
      </w:r>
    </w:p>
    <w:p w14:paraId="32AD8BDA" w14:textId="77777777" w:rsidR="00C13820" w:rsidRPr="00522476" w:rsidRDefault="00C13820" w:rsidP="00CF0D7F">
      <w:pPr>
        <w:tabs>
          <w:tab w:val="left" w:pos="8647"/>
        </w:tabs>
        <w:spacing w:after="0" w:line="240" w:lineRule="auto"/>
        <w:ind w:left="426" w:right="474"/>
        <w:jc w:val="both"/>
        <w:rPr>
          <w:rFonts w:ascii="Arial" w:hAnsi="Arial" w:cs="Arial"/>
          <w:sz w:val="20"/>
        </w:rPr>
      </w:pPr>
    </w:p>
    <w:p w14:paraId="46DAF1D4" w14:textId="1FAA0F9B" w:rsidR="00C13820" w:rsidRPr="00522476" w:rsidRDefault="00C13820" w:rsidP="00CF0D7F">
      <w:pPr>
        <w:tabs>
          <w:tab w:val="left" w:pos="8647"/>
        </w:tabs>
        <w:spacing w:after="0" w:line="240" w:lineRule="auto"/>
        <w:ind w:left="426" w:right="474"/>
        <w:jc w:val="both"/>
        <w:rPr>
          <w:rFonts w:ascii="Arial" w:hAnsi="Arial" w:cs="Arial"/>
          <w:sz w:val="20"/>
        </w:rPr>
      </w:pPr>
      <w:r w:rsidRPr="00522476">
        <w:rPr>
          <w:rFonts w:ascii="Arial" w:hAnsi="Arial" w:cs="Arial"/>
          <w:sz w:val="20"/>
        </w:rPr>
        <w:t>La anterior solicitud se realiza por cuanto tenemos en curso 2 solicitudes de enajenación en aplicación del</w:t>
      </w:r>
      <w:r w:rsidR="00572A82">
        <w:rPr>
          <w:rFonts w:ascii="Arial" w:hAnsi="Arial" w:cs="Arial"/>
          <w:sz w:val="20"/>
        </w:rPr>
        <w:t xml:space="preserve"> [sic] </w:t>
      </w:r>
      <w:r w:rsidRPr="00522476">
        <w:rPr>
          <w:rFonts w:ascii="Arial" w:hAnsi="Arial" w:cs="Arial"/>
          <w:sz w:val="20"/>
        </w:rPr>
        <w:t>los artículos señalados y requerimos claridad al respecto.</w:t>
      </w:r>
    </w:p>
    <w:p w14:paraId="587C1E5E" w14:textId="77777777" w:rsidR="00C13820" w:rsidRPr="00522476" w:rsidRDefault="00C13820" w:rsidP="00CF0D7F">
      <w:pPr>
        <w:tabs>
          <w:tab w:val="left" w:pos="8647"/>
        </w:tabs>
        <w:spacing w:after="0" w:line="240" w:lineRule="auto"/>
        <w:ind w:left="426" w:right="474"/>
        <w:jc w:val="both"/>
        <w:rPr>
          <w:rFonts w:ascii="Arial" w:hAnsi="Arial" w:cs="Arial"/>
          <w:sz w:val="20"/>
        </w:rPr>
      </w:pPr>
    </w:p>
    <w:p w14:paraId="332FCEA7" w14:textId="41B157B4" w:rsidR="006775AA" w:rsidRDefault="00C13820" w:rsidP="00CF0D7F">
      <w:pPr>
        <w:tabs>
          <w:tab w:val="left" w:pos="8647"/>
        </w:tabs>
        <w:spacing w:after="0" w:line="240" w:lineRule="auto"/>
        <w:ind w:left="426" w:right="474"/>
        <w:jc w:val="both"/>
        <w:rPr>
          <w:rFonts w:ascii="Arial" w:hAnsi="Arial" w:cs="Arial"/>
        </w:rPr>
      </w:pPr>
      <w:r w:rsidRPr="00522476">
        <w:rPr>
          <w:rFonts w:ascii="Arial" w:hAnsi="Arial" w:cs="Arial"/>
          <w:sz w:val="20"/>
        </w:rPr>
        <w:t xml:space="preserve">Sea del caso señalar que el día viernes 28 de mayo de 2021 se llevó a cabo capacitación con el Ministerio de Vivienda quienes elaboraron el referido decreto 523 de 2021 y además proyectaron los artículos de las leyes citadas a quienes se les expuso el tema de CISA y del ICBF y nos manifestaron </w:t>
      </w:r>
      <w:proofErr w:type="gramStart"/>
      <w:r w:rsidRPr="00522476">
        <w:rPr>
          <w:rFonts w:ascii="Arial" w:hAnsi="Arial" w:cs="Arial"/>
          <w:sz w:val="20"/>
        </w:rPr>
        <w:t>que</w:t>
      </w:r>
      <w:proofErr w:type="gramEnd"/>
      <w:r w:rsidRPr="00522476">
        <w:rPr>
          <w:rFonts w:ascii="Arial" w:hAnsi="Arial" w:cs="Arial"/>
          <w:sz w:val="20"/>
        </w:rPr>
        <w:t xml:space="preserve"> </w:t>
      </w:r>
      <w:r w:rsidRPr="00CF0D7F">
        <w:rPr>
          <w:rFonts w:ascii="Arial" w:hAnsi="Arial" w:cs="Arial"/>
          <w:sz w:val="20"/>
        </w:rPr>
        <w:t>si los bienes del ICBF tenían alguna connotación y/o marco normativo especial, en el acto administrativo mediante el cual se haga la venta, deberá motivarse igualmente en ese sentido</w:t>
      </w:r>
      <w:r w:rsidRPr="00522476">
        <w:rPr>
          <w:rFonts w:ascii="Arial" w:hAnsi="Arial" w:cs="Arial"/>
          <w:sz w:val="20"/>
        </w:rPr>
        <w:t>”.</w:t>
      </w:r>
    </w:p>
    <w:p w14:paraId="3935F118" w14:textId="77777777" w:rsidR="00987DB7" w:rsidRPr="00CF0D7F" w:rsidRDefault="00987DB7" w:rsidP="00CF0D7F">
      <w:pPr>
        <w:spacing w:after="0" w:line="240" w:lineRule="auto"/>
        <w:ind w:right="567"/>
        <w:jc w:val="both"/>
        <w:rPr>
          <w:rFonts w:ascii="Arial" w:hAnsi="Arial" w:cs="Arial"/>
        </w:rPr>
      </w:pPr>
    </w:p>
    <w:p w14:paraId="39C4806A" w14:textId="60F0C901" w:rsidR="006775AA" w:rsidRPr="00560E0B" w:rsidRDefault="006775AA" w:rsidP="00CF0D7F">
      <w:pPr>
        <w:pStyle w:val="Prrafodelista"/>
        <w:numPr>
          <w:ilvl w:val="1"/>
          <w:numId w:val="3"/>
        </w:numPr>
        <w:spacing w:after="0" w:line="240" w:lineRule="auto"/>
        <w:jc w:val="center"/>
        <w:rPr>
          <w:rFonts w:ascii="Arial" w:eastAsia="Times New Roman" w:hAnsi="Arial" w:cs="Arial"/>
          <w:b/>
          <w:lang w:val="es-CO" w:eastAsia="es-CO"/>
        </w:rPr>
      </w:pPr>
      <w:r w:rsidRPr="00560E0B">
        <w:rPr>
          <w:rFonts w:ascii="Arial" w:eastAsia="Times New Roman" w:hAnsi="Arial" w:cs="Arial"/>
          <w:b/>
          <w:lang w:val="es-CO" w:eastAsia="es-CO"/>
        </w:rPr>
        <w:t>MARCO NORMATIVO APLICABLE:</w:t>
      </w:r>
    </w:p>
    <w:p w14:paraId="75758D8E" w14:textId="77777777" w:rsidR="006775AA" w:rsidRDefault="006775AA" w:rsidP="00CF0D7F">
      <w:pPr>
        <w:spacing w:after="0" w:line="240" w:lineRule="auto"/>
        <w:ind w:right="567"/>
        <w:jc w:val="both"/>
        <w:rPr>
          <w:rFonts w:ascii="Arial" w:hAnsi="Arial" w:cs="Arial"/>
        </w:rPr>
      </w:pPr>
    </w:p>
    <w:p w14:paraId="40191FEB" w14:textId="3D299CC9" w:rsidR="006775AA" w:rsidRDefault="006775AA" w:rsidP="00CF0D7F">
      <w:pPr>
        <w:spacing w:after="0" w:line="240" w:lineRule="auto"/>
        <w:ind w:right="49"/>
        <w:jc w:val="both"/>
        <w:rPr>
          <w:rFonts w:ascii="Arial" w:hAnsi="Arial" w:cs="Arial"/>
        </w:rPr>
      </w:pPr>
      <w:r w:rsidRPr="00215E8C">
        <w:rPr>
          <w:rFonts w:ascii="Arial" w:eastAsia="Times New Roman" w:hAnsi="Arial" w:cs="Arial"/>
          <w:lang w:val="es-CO" w:eastAsia="es-CO"/>
        </w:rPr>
        <w:t xml:space="preserve">Son normas aplicables para la resolución del problema jurídico planteado las siguientes: </w:t>
      </w:r>
      <w:r w:rsidRPr="00522476">
        <w:rPr>
          <w:rFonts w:ascii="Arial" w:hAnsi="Arial" w:cs="Arial"/>
        </w:rPr>
        <w:t>Ley 1955 de 2019</w:t>
      </w:r>
      <w:r>
        <w:rPr>
          <w:rFonts w:ascii="Arial" w:hAnsi="Arial" w:cs="Arial"/>
        </w:rPr>
        <w:t xml:space="preserve">, </w:t>
      </w:r>
      <w:r w:rsidRPr="00522476">
        <w:rPr>
          <w:rFonts w:ascii="Arial" w:hAnsi="Arial" w:cs="Arial"/>
        </w:rPr>
        <w:t>Ley 2044 de 2020</w:t>
      </w:r>
      <w:r>
        <w:rPr>
          <w:rFonts w:ascii="Arial" w:hAnsi="Arial" w:cs="Arial"/>
        </w:rPr>
        <w:t xml:space="preserve">, </w:t>
      </w:r>
      <w:r w:rsidRPr="00522476">
        <w:rPr>
          <w:rFonts w:ascii="Arial" w:hAnsi="Arial" w:cs="Arial"/>
        </w:rPr>
        <w:t>Ley 1753 de 2015</w:t>
      </w:r>
      <w:r w:rsidR="00EF4D7E">
        <w:rPr>
          <w:rFonts w:ascii="Arial" w:hAnsi="Arial" w:cs="Arial"/>
        </w:rPr>
        <w:t>,</w:t>
      </w:r>
      <w:r w:rsidR="001F1F36">
        <w:rPr>
          <w:rFonts w:ascii="Arial" w:hAnsi="Arial" w:cs="Arial"/>
        </w:rPr>
        <w:t xml:space="preserve"> </w:t>
      </w:r>
      <w:r w:rsidR="001F1F36" w:rsidRPr="00522476">
        <w:rPr>
          <w:rFonts w:ascii="Arial" w:hAnsi="Arial" w:cs="Arial"/>
          <w:color w:val="000000"/>
        </w:rPr>
        <w:t>Decreto 523 de 2021</w:t>
      </w:r>
      <w:r w:rsidR="001F1F36">
        <w:rPr>
          <w:rFonts w:ascii="Arial" w:hAnsi="Arial" w:cs="Arial"/>
          <w:color w:val="000000"/>
        </w:rPr>
        <w:t>,</w:t>
      </w:r>
      <w:r w:rsidR="00EF4D7E">
        <w:rPr>
          <w:rFonts w:ascii="Arial" w:hAnsi="Arial" w:cs="Arial"/>
        </w:rPr>
        <w:t xml:space="preserve"> </w:t>
      </w:r>
      <w:r w:rsidRPr="00522476">
        <w:rPr>
          <w:rFonts w:ascii="Arial" w:hAnsi="Arial" w:cs="Arial"/>
        </w:rPr>
        <w:t>Decreto 1077 de 2015</w:t>
      </w:r>
      <w:r>
        <w:rPr>
          <w:rFonts w:ascii="Arial" w:hAnsi="Arial" w:cs="Arial"/>
        </w:rPr>
        <w:t xml:space="preserve">, </w:t>
      </w:r>
      <w:r w:rsidRPr="00522476">
        <w:rPr>
          <w:rFonts w:ascii="Arial" w:hAnsi="Arial" w:cs="Arial"/>
        </w:rPr>
        <w:t>Decreto 1068 de 2015</w:t>
      </w:r>
      <w:r w:rsidR="00EF4D7E">
        <w:rPr>
          <w:rFonts w:ascii="Arial" w:hAnsi="Arial" w:cs="Arial"/>
        </w:rPr>
        <w:t xml:space="preserve"> y la Ley 489 de 1998.</w:t>
      </w:r>
    </w:p>
    <w:p w14:paraId="1287B884" w14:textId="77777777" w:rsidR="00987DB7" w:rsidRDefault="00987DB7" w:rsidP="00CF0D7F">
      <w:pPr>
        <w:spacing w:after="0" w:line="240" w:lineRule="auto"/>
        <w:jc w:val="both"/>
        <w:rPr>
          <w:rFonts w:ascii="Arial" w:hAnsi="Arial" w:cs="Arial"/>
        </w:rPr>
      </w:pPr>
    </w:p>
    <w:p w14:paraId="39F692D4" w14:textId="4DF5A37C" w:rsidR="00EF4D7E" w:rsidRPr="00560E0B" w:rsidRDefault="00EF4D7E" w:rsidP="00CF0D7F">
      <w:pPr>
        <w:spacing w:after="0" w:line="240" w:lineRule="auto"/>
        <w:jc w:val="both"/>
        <w:rPr>
          <w:rFonts w:ascii="Arial" w:hAnsi="Arial" w:cs="Arial"/>
          <w:b/>
          <w:bCs/>
        </w:rPr>
      </w:pPr>
      <w:r w:rsidRPr="00FA3231">
        <w:rPr>
          <w:rFonts w:ascii="Arial" w:hAnsi="Arial" w:cs="Arial"/>
          <w:b/>
          <w:bCs/>
        </w:rPr>
        <w:t>2.2.1</w:t>
      </w:r>
      <w:r w:rsidR="001D1031">
        <w:rPr>
          <w:rFonts w:ascii="Arial" w:hAnsi="Arial" w:cs="Arial"/>
          <w:b/>
          <w:bCs/>
        </w:rPr>
        <w:t>.</w:t>
      </w:r>
      <w:r w:rsidRPr="00FA3231">
        <w:rPr>
          <w:rFonts w:ascii="Arial" w:hAnsi="Arial" w:cs="Arial"/>
          <w:b/>
          <w:bCs/>
        </w:rPr>
        <w:t xml:space="preserve"> </w:t>
      </w:r>
      <w:r w:rsidR="00B84CDF">
        <w:rPr>
          <w:rFonts w:ascii="Arial" w:hAnsi="Arial" w:cs="Arial"/>
          <w:b/>
          <w:bCs/>
        </w:rPr>
        <w:t>L</w:t>
      </w:r>
      <w:r w:rsidR="00F12D65" w:rsidRPr="00FA3231">
        <w:rPr>
          <w:rFonts w:ascii="Arial" w:hAnsi="Arial" w:cs="Arial"/>
          <w:b/>
          <w:bCs/>
        </w:rPr>
        <w:t>a</w:t>
      </w:r>
      <w:r w:rsidRPr="00FA3231">
        <w:rPr>
          <w:rFonts w:ascii="Arial" w:hAnsi="Arial" w:cs="Arial"/>
          <w:b/>
          <w:bCs/>
        </w:rPr>
        <w:t xml:space="preserve"> enajenación </w:t>
      </w:r>
      <w:r w:rsidR="00F12D65" w:rsidRPr="00F12D65">
        <w:rPr>
          <w:rFonts w:ascii="Arial" w:hAnsi="Arial" w:cs="Arial"/>
          <w:b/>
          <w:bCs/>
        </w:rPr>
        <w:t>directa de</w:t>
      </w:r>
      <w:r w:rsidR="004E42E9">
        <w:rPr>
          <w:rFonts w:ascii="Arial" w:hAnsi="Arial" w:cs="Arial"/>
          <w:b/>
          <w:bCs/>
        </w:rPr>
        <w:t xml:space="preserve"> bienes</w:t>
      </w:r>
      <w:r w:rsidR="00F12D65" w:rsidRPr="00F12D65">
        <w:rPr>
          <w:rFonts w:ascii="Arial" w:hAnsi="Arial" w:cs="Arial"/>
          <w:b/>
          <w:bCs/>
        </w:rPr>
        <w:t xml:space="preserve"> fiscales</w:t>
      </w:r>
      <w:r w:rsidR="00B84CDF">
        <w:rPr>
          <w:rFonts w:ascii="Arial" w:hAnsi="Arial" w:cs="Arial"/>
          <w:b/>
          <w:bCs/>
        </w:rPr>
        <w:t xml:space="preserve">: definición y </w:t>
      </w:r>
      <w:r w:rsidR="00C82E3B">
        <w:rPr>
          <w:rFonts w:ascii="Arial" w:hAnsi="Arial" w:cs="Arial"/>
          <w:b/>
          <w:bCs/>
        </w:rPr>
        <w:t xml:space="preserve">mecanismo </w:t>
      </w:r>
      <w:r w:rsidR="00B84CDF">
        <w:rPr>
          <w:rFonts w:ascii="Arial" w:hAnsi="Arial" w:cs="Arial"/>
          <w:b/>
          <w:bCs/>
        </w:rPr>
        <w:t xml:space="preserve">previsto para los </w:t>
      </w:r>
      <w:r w:rsidR="00704FC3">
        <w:rPr>
          <w:rFonts w:ascii="Arial" w:hAnsi="Arial" w:cs="Arial"/>
          <w:b/>
          <w:bCs/>
        </w:rPr>
        <w:t>inmuebles fiscales</w:t>
      </w:r>
      <w:r w:rsidR="00B84CDF">
        <w:rPr>
          <w:rFonts w:ascii="Arial" w:hAnsi="Arial" w:cs="Arial"/>
          <w:b/>
          <w:bCs/>
        </w:rPr>
        <w:t xml:space="preserve"> </w:t>
      </w:r>
      <w:r w:rsidR="0090155D" w:rsidRPr="00555055">
        <w:rPr>
          <w:rFonts w:ascii="Arial" w:hAnsi="Arial" w:cs="Arial"/>
          <w:b/>
          <w:bCs/>
        </w:rPr>
        <w:t>que</w:t>
      </w:r>
      <w:r w:rsidR="0090155D" w:rsidRPr="004450DA">
        <w:rPr>
          <w:rFonts w:ascii="Arial" w:hAnsi="Arial" w:cs="Arial"/>
          <w:b/>
          <w:bCs/>
        </w:rPr>
        <w:t xml:space="preserve"> tratan el parágrafo 1 del artículo 277 de la Ley 1955 de 2019 y el artículo 14 de la Ley 2044 de 2020</w:t>
      </w:r>
      <w:r w:rsidR="00F12D65" w:rsidRPr="0090155D">
        <w:rPr>
          <w:rFonts w:ascii="Arial" w:hAnsi="Arial" w:cs="Arial"/>
          <w:b/>
          <w:bCs/>
        </w:rPr>
        <w:t>.</w:t>
      </w:r>
      <w:r w:rsidR="00F12D65" w:rsidRPr="00FA3231">
        <w:rPr>
          <w:rFonts w:ascii="Arial" w:hAnsi="Arial" w:cs="Arial"/>
          <w:b/>
          <w:bCs/>
        </w:rPr>
        <w:t xml:space="preserve"> </w:t>
      </w:r>
    </w:p>
    <w:p w14:paraId="1159CC57" w14:textId="77777777" w:rsidR="00EF4D7E" w:rsidRDefault="00EF4D7E" w:rsidP="00CF0D7F">
      <w:pPr>
        <w:spacing w:after="0" w:line="240" w:lineRule="auto"/>
        <w:jc w:val="both"/>
        <w:rPr>
          <w:rFonts w:ascii="Arial" w:hAnsi="Arial" w:cs="Arial"/>
        </w:rPr>
      </w:pPr>
    </w:p>
    <w:p w14:paraId="76D80995" w14:textId="7C0142A2" w:rsidR="00C13820" w:rsidRPr="00522476" w:rsidRDefault="00575C81" w:rsidP="00CF0D7F">
      <w:pPr>
        <w:spacing w:after="0" w:line="240" w:lineRule="auto"/>
        <w:jc w:val="both"/>
        <w:rPr>
          <w:rFonts w:ascii="Arial" w:hAnsi="Arial" w:cs="Arial"/>
        </w:rPr>
      </w:pPr>
      <w:r>
        <w:rPr>
          <w:rFonts w:ascii="Arial" w:hAnsi="Arial" w:cs="Arial"/>
        </w:rPr>
        <w:t>P</w:t>
      </w:r>
      <w:r w:rsidR="009437B8" w:rsidRPr="00522476">
        <w:rPr>
          <w:rFonts w:ascii="Arial" w:hAnsi="Arial" w:cs="Arial"/>
        </w:rPr>
        <w:t xml:space="preserve">or regla general, las entidades públicas deben sujetarse </w:t>
      </w:r>
      <w:r w:rsidR="009437B8" w:rsidRPr="00D842C3">
        <w:rPr>
          <w:rFonts w:ascii="Arial" w:hAnsi="Arial" w:cs="Arial"/>
        </w:rPr>
        <w:t>a</w:t>
      </w:r>
      <w:r w:rsidR="009437B8" w:rsidRPr="00D842C3">
        <w:rPr>
          <w:rFonts w:ascii="Arial" w:hAnsi="Arial" w:cs="Arial"/>
          <w:i/>
        </w:rPr>
        <w:t xml:space="preserve"> las normas de contratación estatal</w:t>
      </w:r>
      <w:r w:rsidR="009437B8" w:rsidRPr="00522476">
        <w:rPr>
          <w:rFonts w:ascii="Arial" w:hAnsi="Arial" w:cs="Arial"/>
        </w:rPr>
        <w:t xml:space="preserve"> cuando </w:t>
      </w:r>
      <w:r w:rsidR="00397A9C">
        <w:rPr>
          <w:rFonts w:ascii="Arial" w:hAnsi="Arial" w:cs="Arial"/>
        </w:rPr>
        <w:t>vendan</w:t>
      </w:r>
      <w:r w:rsidR="009437B8" w:rsidRPr="00522476">
        <w:rPr>
          <w:rFonts w:ascii="Arial" w:hAnsi="Arial" w:cs="Arial"/>
        </w:rPr>
        <w:t xml:space="preserve"> sus </w:t>
      </w:r>
      <w:r w:rsidR="0090155D">
        <w:rPr>
          <w:rFonts w:ascii="Arial" w:hAnsi="Arial" w:cs="Arial"/>
        </w:rPr>
        <w:t>bienes</w:t>
      </w:r>
      <w:r w:rsidR="001D1031">
        <w:rPr>
          <w:rFonts w:ascii="Arial" w:hAnsi="Arial" w:cs="Arial"/>
        </w:rPr>
        <w:t>. S</w:t>
      </w:r>
      <w:r w:rsidR="009437B8" w:rsidRPr="00522476">
        <w:rPr>
          <w:rFonts w:ascii="Arial" w:hAnsi="Arial" w:cs="Arial"/>
        </w:rPr>
        <w:t xml:space="preserve">in embargo, la ley ha previsto la posibilidad de que si se cumplen ciertas condiciones no </w:t>
      </w:r>
      <w:r w:rsidR="00D842C3">
        <w:rPr>
          <w:rFonts w:ascii="Arial" w:hAnsi="Arial" w:cs="Arial"/>
        </w:rPr>
        <w:t>apliquen</w:t>
      </w:r>
      <w:r w:rsidR="009437B8" w:rsidRPr="00522476">
        <w:rPr>
          <w:rFonts w:ascii="Arial" w:hAnsi="Arial" w:cs="Arial"/>
        </w:rPr>
        <w:t xml:space="preserve"> </w:t>
      </w:r>
      <w:r w:rsidR="00D842C3">
        <w:rPr>
          <w:rFonts w:ascii="Arial" w:hAnsi="Arial" w:cs="Arial"/>
        </w:rPr>
        <w:t xml:space="preserve">dicha </w:t>
      </w:r>
      <w:r w:rsidR="009437B8" w:rsidRPr="00522476">
        <w:rPr>
          <w:rFonts w:ascii="Arial" w:hAnsi="Arial" w:cs="Arial"/>
        </w:rPr>
        <w:t>normativa</w:t>
      </w:r>
      <w:r w:rsidR="00572A82">
        <w:rPr>
          <w:rFonts w:ascii="Arial" w:hAnsi="Arial" w:cs="Arial"/>
        </w:rPr>
        <w:t>,</w:t>
      </w:r>
      <w:r w:rsidR="009437B8" w:rsidRPr="00522476">
        <w:rPr>
          <w:rFonts w:ascii="Arial" w:hAnsi="Arial" w:cs="Arial"/>
        </w:rPr>
        <w:t xml:space="preserve"> sino que </w:t>
      </w:r>
      <w:r w:rsidR="00D842C3" w:rsidRPr="00D842C3">
        <w:rPr>
          <w:rFonts w:ascii="Arial" w:hAnsi="Arial" w:cs="Arial"/>
          <w:i/>
        </w:rPr>
        <w:t>enajenen</w:t>
      </w:r>
      <w:r w:rsidR="009437B8" w:rsidRPr="00522476">
        <w:rPr>
          <w:rFonts w:ascii="Arial" w:hAnsi="Arial" w:cs="Arial"/>
          <w:i/>
        </w:rPr>
        <w:t xml:space="preserve"> directamente </w:t>
      </w:r>
      <w:r w:rsidR="00112506">
        <w:rPr>
          <w:rFonts w:ascii="Arial" w:hAnsi="Arial" w:cs="Arial"/>
        </w:rPr>
        <w:t>los inmuebles de su propiedad</w:t>
      </w:r>
      <w:r w:rsidR="009437B8" w:rsidRPr="00522476">
        <w:rPr>
          <w:rFonts w:ascii="Arial" w:hAnsi="Arial" w:cs="Arial"/>
        </w:rPr>
        <w:t xml:space="preserve"> a quien lo</w:t>
      </w:r>
      <w:r w:rsidR="00112506">
        <w:rPr>
          <w:rFonts w:ascii="Arial" w:hAnsi="Arial" w:cs="Arial"/>
        </w:rPr>
        <w:t>s</w:t>
      </w:r>
      <w:r w:rsidR="009437B8" w:rsidRPr="00522476">
        <w:rPr>
          <w:rFonts w:ascii="Arial" w:hAnsi="Arial" w:cs="Arial"/>
        </w:rPr>
        <w:t xml:space="preserve"> esté ocupando</w:t>
      </w:r>
      <w:r w:rsidR="009437B8" w:rsidRPr="00522476">
        <w:rPr>
          <w:rStyle w:val="Refdenotaalpie"/>
          <w:rFonts w:ascii="Arial" w:hAnsi="Arial" w:cs="Arial"/>
        </w:rPr>
        <w:footnoteReference w:id="1"/>
      </w:r>
      <w:r w:rsidR="009437B8" w:rsidRPr="00522476">
        <w:rPr>
          <w:rFonts w:ascii="Arial" w:hAnsi="Arial" w:cs="Arial"/>
        </w:rPr>
        <w:t xml:space="preserve">. </w:t>
      </w:r>
    </w:p>
    <w:p w14:paraId="5490579A" w14:textId="77777777" w:rsidR="00F90592" w:rsidRPr="00522476" w:rsidRDefault="00F90592" w:rsidP="00CF0D7F">
      <w:pPr>
        <w:spacing w:after="0" w:line="240" w:lineRule="auto"/>
        <w:jc w:val="both"/>
        <w:rPr>
          <w:rFonts w:ascii="Arial" w:hAnsi="Arial" w:cs="Arial"/>
        </w:rPr>
      </w:pPr>
    </w:p>
    <w:p w14:paraId="22C64D3B" w14:textId="0A366201" w:rsidR="00F90592" w:rsidRDefault="00F90592" w:rsidP="00CF0D7F">
      <w:pPr>
        <w:spacing w:after="0" w:line="240" w:lineRule="auto"/>
        <w:jc w:val="both"/>
        <w:rPr>
          <w:rFonts w:ascii="Arial" w:hAnsi="Arial" w:cs="Arial"/>
        </w:rPr>
      </w:pPr>
      <w:r w:rsidRPr="00522476">
        <w:rPr>
          <w:rFonts w:ascii="Arial" w:hAnsi="Arial" w:cs="Arial"/>
        </w:rPr>
        <w:t xml:space="preserve">En </w:t>
      </w:r>
      <w:r w:rsidR="00572A82">
        <w:rPr>
          <w:rFonts w:ascii="Arial" w:hAnsi="Arial" w:cs="Arial"/>
        </w:rPr>
        <w:t>la</w:t>
      </w:r>
      <w:r w:rsidRPr="00522476">
        <w:rPr>
          <w:rFonts w:ascii="Arial" w:hAnsi="Arial" w:cs="Arial"/>
        </w:rPr>
        <w:t xml:space="preserve"> </w:t>
      </w:r>
      <w:r w:rsidR="003640E1">
        <w:rPr>
          <w:rFonts w:ascii="Arial" w:hAnsi="Arial" w:cs="Arial"/>
        </w:rPr>
        <w:t>solicitud</w:t>
      </w:r>
      <w:r w:rsidR="00572A82">
        <w:rPr>
          <w:rFonts w:ascii="Arial" w:hAnsi="Arial" w:cs="Arial"/>
        </w:rPr>
        <w:t xml:space="preserve"> que realiza la Dirección Administrativa</w:t>
      </w:r>
      <w:r w:rsidRPr="00522476">
        <w:rPr>
          <w:rFonts w:ascii="Arial" w:hAnsi="Arial" w:cs="Arial"/>
        </w:rPr>
        <w:t xml:space="preserve"> se </w:t>
      </w:r>
      <w:r w:rsidR="00572A82">
        <w:rPr>
          <w:rFonts w:ascii="Arial" w:hAnsi="Arial" w:cs="Arial"/>
        </w:rPr>
        <w:t>hace referencia</w:t>
      </w:r>
      <w:r w:rsidRPr="00522476">
        <w:rPr>
          <w:rFonts w:ascii="Arial" w:hAnsi="Arial" w:cs="Arial"/>
        </w:rPr>
        <w:t xml:space="preserve"> a las enajenaciones directas </w:t>
      </w:r>
      <w:r w:rsidR="001D1031">
        <w:rPr>
          <w:rFonts w:ascii="Arial" w:hAnsi="Arial" w:cs="Arial"/>
        </w:rPr>
        <w:t xml:space="preserve">de </w:t>
      </w:r>
      <w:r w:rsidRPr="00522476">
        <w:rPr>
          <w:rFonts w:ascii="Arial" w:hAnsi="Arial" w:cs="Arial"/>
        </w:rPr>
        <w:t>que tratan el parágrafo 1 del artículo 277 de la Ley 1955 de 2019</w:t>
      </w:r>
      <w:r w:rsidRPr="00522476">
        <w:rPr>
          <w:rStyle w:val="Refdenotaalpie"/>
          <w:rFonts w:ascii="Arial" w:hAnsi="Arial" w:cs="Arial"/>
        </w:rPr>
        <w:footnoteReference w:id="2"/>
      </w:r>
      <w:r w:rsidRPr="00522476">
        <w:rPr>
          <w:rFonts w:ascii="Arial" w:hAnsi="Arial" w:cs="Arial"/>
        </w:rPr>
        <w:t xml:space="preserve"> y el artículo 14 de la Ley 2044 de 2020</w:t>
      </w:r>
      <w:r w:rsidR="002F2CDA" w:rsidRPr="00522476">
        <w:rPr>
          <w:rStyle w:val="Refdenotaalpie"/>
          <w:rFonts w:ascii="Arial" w:hAnsi="Arial" w:cs="Arial"/>
        </w:rPr>
        <w:footnoteReference w:id="3"/>
      </w:r>
      <w:r w:rsidRPr="00522476">
        <w:rPr>
          <w:rFonts w:ascii="Arial" w:hAnsi="Arial" w:cs="Arial"/>
        </w:rPr>
        <w:t xml:space="preserve">, </w:t>
      </w:r>
      <w:r w:rsidR="006457BD">
        <w:rPr>
          <w:rFonts w:ascii="Arial" w:hAnsi="Arial" w:cs="Arial"/>
        </w:rPr>
        <w:t>de manera que</w:t>
      </w:r>
      <w:r w:rsidRPr="00522476">
        <w:rPr>
          <w:rFonts w:ascii="Arial" w:hAnsi="Arial" w:cs="Arial"/>
        </w:rPr>
        <w:t xml:space="preserve"> en ellas </w:t>
      </w:r>
      <w:r w:rsidR="0077096E">
        <w:rPr>
          <w:rFonts w:ascii="Arial" w:hAnsi="Arial" w:cs="Arial"/>
        </w:rPr>
        <w:t>se centrará e</w:t>
      </w:r>
      <w:r w:rsidR="00572A82">
        <w:rPr>
          <w:rFonts w:ascii="Arial" w:hAnsi="Arial" w:cs="Arial"/>
        </w:rPr>
        <w:t>ste</w:t>
      </w:r>
      <w:r w:rsidR="0077096E">
        <w:rPr>
          <w:rFonts w:ascii="Arial" w:hAnsi="Arial" w:cs="Arial"/>
        </w:rPr>
        <w:t xml:space="preserve"> análisis</w:t>
      </w:r>
      <w:r w:rsidRPr="00522476">
        <w:rPr>
          <w:rFonts w:ascii="Arial" w:hAnsi="Arial" w:cs="Arial"/>
        </w:rPr>
        <w:t>.</w:t>
      </w:r>
    </w:p>
    <w:p w14:paraId="58F5E0F3" w14:textId="77777777" w:rsidR="000F4541" w:rsidRPr="00522476" w:rsidRDefault="000F4541" w:rsidP="00CF0D7F">
      <w:pPr>
        <w:spacing w:after="0" w:line="240" w:lineRule="auto"/>
        <w:jc w:val="both"/>
        <w:rPr>
          <w:rFonts w:ascii="Arial" w:hAnsi="Arial" w:cs="Arial"/>
        </w:rPr>
      </w:pPr>
    </w:p>
    <w:p w14:paraId="32BC054B" w14:textId="635A799B" w:rsidR="00B84CDF" w:rsidRDefault="00163B6B" w:rsidP="00CF0D7F">
      <w:pPr>
        <w:spacing w:after="0" w:line="240" w:lineRule="auto"/>
        <w:jc w:val="both"/>
        <w:rPr>
          <w:rFonts w:ascii="Arial" w:hAnsi="Arial" w:cs="Arial"/>
        </w:rPr>
      </w:pPr>
      <w:r>
        <w:rPr>
          <w:rFonts w:ascii="Arial" w:hAnsi="Arial" w:cs="Arial"/>
        </w:rPr>
        <w:t>E</w:t>
      </w:r>
      <w:r w:rsidR="0090155D">
        <w:rPr>
          <w:rFonts w:ascii="Arial" w:hAnsi="Arial" w:cs="Arial"/>
        </w:rPr>
        <w:t xml:space="preserve">ncontramos que el artículo 277 de la Ley 1955 de 2019 y el artículo 14 de la Ley 2044 de 2020, aluden a </w:t>
      </w:r>
      <w:r w:rsidR="0090155D">
        <w:rPr>
          <w:rFonts w:ascii="Arial" w:hAnsi="Arial" w:cs="Arial"/>
          <w:i/>
          <w:iCs/>
        </w:rPr>
        <w:t>bienes fiscales,</w:t>
      </w:r>
      <w:r w:rsidR="0090155D">
        <w:rPr>
          <w:rFonts w:ascii="Arial" w:hAnsi="Arial" w:cs="Arial"/>
        </w:rPr>
        <w:t xml:space="preserve"> </w:t>
      </w:r>
      <w:r w:rsidR="001B0461">
        <w:rPr>
          <w:rFonts w:ascii="Arial" w:hAnsi="Arial" w:cs="Arial"/>
        </w:rPr>
        <w:t xml:space="preserve">cuya definición </w:t>
      </w:r>
      <w:r w:rsidR="00AF1B12">
        <w:rPr>
          <w:rFonts w:ascii="Arial" w:hAnsi="Arial" w:cs="Arial"/>
        </w:rPr>
        <w:t xml:space="preserve">precisa </w:t>
      </w:r>
      <w:r w:rsidR="001B0461">
        <w:rPr>
          <w:rFonts w:ascii="Arial" w:hAnsi="Arial" w:cs="Arial"/>
        </w:rPr>
        <w:t>el Consejo de Estado de la siguiente manera</w:t>
      </w:r>
      <w:r w:rsidR="001B0461">
        <w:rPr>
          <w:rStyle w:val="Refdenotaalpie"/>
          <w:rFonts w:ascii="Arial" w:hAnsi="Arial" w:cs="Arial"/>
        </w:rPr>
        <w:footnoteReference w:id="4"/>
      </w:r>
      <w:r w:rsidR="001B0461">
        <w:rPr>
          <w:rFonts w:ascii="Arial" w:hAnsi="Arial" w:cs="Arial"/>
        </w:rPr>
        <w:t>:</w:t>
      </w:r>
    </w:p>
    <w:p w14:paraId="7EA37AFE" w14:textId="60B26984" w:rsidR="001B0461" w:rsidRPr="00555055" w:rsidRDefault="001B0461" w:rsidP="00CF0D7F">
      <w:pPr>
        <w:spacing w:after="0" w:line="240" w:lineRule="auto"/>
        <w:ind w:left="567" w:right="474"/>
        <w:jc w:val="both"/>
        <w:rPr>
          <w:rFonts w:ascii="Arial" w:hAnsi="Arial" w:cs="Arial"/>
        </w:rPr>
      </w:pPr>
    </w:p>
    <w:p w14:paraId="3786E7E9" w14:textId="00E7B113" w:rsidR="001B0461" w:rsidRPr="004450DA" w:rsidRDefault="001B0461" w:rsidP="00CF0D7F">
      <w:pPr>
        <w:spacing w:after="0" w:line="240" w:lineRule="auto"/>
        <w:ind w:left="567" w:right="474"/>
        <w:jc w:val="both"/>
        <w:rPr>
          <w:rFonts w:ascii="Arial" w:hAnsi="Arial" w:cs="Arial"/>
          <w:sz w:val="20"/>
          <w:szCs w:val="20"/>
        </w:rPr>
      </w:pPr>
      <w:r w:rsidRPr="004450DA">
        <w:rPr>
          <w:rFonts w:ascii="Arial" w:hAnsi="Arial" w:cs="Arial"/>
          <w:sz w:val="20"/>
          <w:szCs w:val="20"/>
          <w:shd w:val="clear" w:color="auto" w:fill="FFFFFF"/>
        </w:rPr>
        <w:t>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w:t>
      </w:r>
    </w:p>
    <w:p w14:paraId="65DEED6C" w14:textId="77777777" w:rsidR="00B84CDF" w:rsidRDefault="00B84CDF" w:rsidP="00CF0D7F">
      <w:pPr>
        <w:spacing w:after="0" w:line="240" w:lineRule="auto"/>
        <w:jc w:val="both"/>
        <w:rPr>
          <w:rFonts w:ascii="Arial" w:hAnsi="Arial" w:cs="Arial"/>
        </w:rPr>
      </w:pPr>
    </w:p>
    <w:p w14:paraId="20B3D047" w14:textId="43EFEB65" w:rsidR="001F1F36" w:rsidRDefault="001C7D7F" w:rsidP="00CF0D7F">
      <w:pPr>
        <w:spacing w:after="0" w:line="240" w:lineRule="auto"/>
        <w:jc w:val="both"/>
        <w:rPr>
          <w:rFonts w:ascii="Arial" w:hAnsi="Arial" w:cs="Arial"/>
        </w:rPr>
      </w:pPr>
      <w:r>
        <w:rPr>
          <w:rFonts w:ascii="Arial" w:hAnsi="Arial" w:cs="Arial"/>
        </w:rPr>
        <w:t xml:space="preserve">Ahora bien, </w:t>
      </w:r>
      <w:r w:rsidR="003859D9">
        <w:rPr>
          <w:rFonts w:ascii="Arial" w:hAnsi="Arial" w:cs="Arial"/>
        </w:rPr>
        <w:t xml:space="preserve">el parágrafo 1 del artículo 277 de la Ley 1955 de 2019, dispone que las entidades públicas procederán con la enajenación directa de los bienes inmuebles fiscales </w:t>
      </w:r>
      <w:r w:rsidR="003859D9">
        <w:rPr>
          <w:rFonts w:ascii="Arial" w:hAnsi="Arial" w:cs="Arial"/>
        </w:rPr>
        <w:lastRenderedPageBreak/>
        <w:t>“</w:t>
      </w:r>
      <w:r w:rsidR="003859D9">
        <w:rPr>
          <w:rFonts w:ascii="Arial" w:hAnsi="Arial" w:cs="Arial"/>
          <w:i/>
          <w:iCs/>
        </w:rPr>
        <w:t>ocupados ilegalmente</w:t>
      </w:r>
      <w:r w:rsidR="003859D9" w:rsidRPr="004450DA">
        <w:rPr>
          <w:rFonts w:ascii="Arial" w:hAnsi="Arial" w:cs="Arial"/>
          <w:i/>
          <w:iCs/>
        </w:rPr>
        <w:t xml:space="preserve"> con mejoras que no cuenten con destinación económica habitacional</w:t>
      </w:r>
      <w:r w:rsidR="003859D9">
        <w:rPr>
          <w:rFonts w:ascii="Arial" w:hAnsi="Arial" w:cs="Arial"/>
          <w:i/>
          <w:iCs/>
        </w:rPr>
        <w:t>”</w:t>
      </w:r>
      <w:r w:rsidR="003859D9">
        <w:rPr>
          <w:rFonts w:ascii="Arial" w:hAnsi="Arial" w:cs="Arial"/>
        </w:rPr>
        <w:t>.</w:t>
      </w:r>
    </w:p>
    <w:p w14:paraId="7978D1F7" w14:textId="47F67DC8" w:rsidR="001F1F36" w:rsidRDefault="001F1F36" w:rsidP="00CF0D7F">
      <w:pPr>
        <w:spacing w:after="0" w:line="240" w:lineRule="auto"/>
        <w:jc w:val="both"/>
        <w:rPr>
          <w:rFonts w:ascii="Arial" w:hAnsi="Arial" w:cs="Arial"/>
        </w:rPr>
      </w:pPr>
    </w:p>
    <w:p w14:paraId="725B3C27" w14:textId="5F1216CA" w:rsidR="00513AB3" w:rsidRDefault="00AF1B12" w:rsidP="00CF0D7F">
      <w:pPr>
        <w:spacing w:after="0" w:line="240" w:lineRule="auto"/>
        <w:jc w:val="both"/>
        <w:rPr>
          <w:rFonts w:ascii="Arial" w:hAnsi="Arial" w:cs="Arial"/>
        </w:rPr>
      </w:pPr>
      <w:r>
        <w:rPr>
          <w:rFonts w:ascii="Arial" w:hAnsi="Arial" w:cs="Arial"/>
        </w:rPr>
        <w:t>E</w:t>
      </w:r>
      <w:r w:rsidR="0029003B">
        <w:rPr>
          <w:rFonts w:ascii="Arial" w:hAnsi="Arial" w:cs="Arial"/>
        </w:rPr>
        <w:t>l artículo 14 de la Ley 2044 de 2020 refiere</w:t>
      </w:r>
      <w:r w:rsidR="00597B58">
        <w:rPr>
          <w:rFonts w:ascii="Arial" w:hAnsi="Arial" w:cs="Arial"/>
        </w:rPr>
        <w:t xml:space="preserve"> que las </w:t>
      </w:r>
      <w:r w:rsidR="00B22E0B">
        <w:rPr>
          <w:rFonts w:ascii="Arial" w:hAnsi="Arial" w:cs="Arial"/>
        </w:rPr>
        <w:t xml:space="preserve">entidades públicas podrán enajenar directamente </w:t>
      </w:r>
      <w:r w:rsidR="00AC0C28">
        <w:rPr>
          <w:rFonts w:ascii="Arial" w:hAnsi="Arial" w:cs="Arial"/>
        </w:rPr>
        <w:t>sus</w:t>
      </w:r>
      <w:r w:rsidR="00B22E0B">
        <w:rPr>
          <w:rFonts w:ascii="Arial" w:hAnsi="Arial" w:cs="Arial"/>
        </w:rPr>
        <w:t xml:space="preserve"> </w:t>
      </w:r>
      <w:r w:rsidR="0029003B">
        <w:rPr>
          <w:rFonts w:ascii="Arial" w:hAnsi="Arial" w:cs="Arial"/>
        </w:rPr>
        <w:t>inmuebles</w:t>
      </w:r>
      <w:r w:rsidR="00AC0C28">
        <w:rPr>
          <w:rFonts w:ascii="Arial" w:hAnsi="Arial" w:cs="Arial"/>
        </w:rPr>
        <w:t>,</w:t>
      </w:r>
      <w:r w:rsidR="00B22E0B">
        <w:rPr>
          <w:rFonts w:ascii="Arial" w:hAnsi="Arial" w:cs="Arial"/>
        </w:rPr>
        <w:t xml:space="preserve"> </w:t>
      </w:r>
      <w:r w:rsidR="00B22E0B" w:rsidRPr="00CF0D7F">
        <w:rPr>
          <w:rFonts w:ascii="Arial" w:hAnsi="Arial" w:cs="Arial"/>
        </w:rPr>
        <w:t>en primer lugar al ocupante</w:t>
      </w:r>
      <w:r w:rsidR="00B22E0B">
        <w:rPr>
          <w:rFonts w:ascii="Arial" w:hAnsi="Arial" w:cs="Arial"/>
        </w:rPr>
        <w:t>,</w:t>
      </w:r>
      <w:r w:rsidR="0029003B">
        <w:rPr>
          <w:rFonts w:ascii="Arial" w:hAnsi="Arial" w:cs="Arial"/>
        </w:rPr>
        <w:t xml:space="preserve"> específicamente </w:t>
      </w:r>
      <w:r w:rsidR="00C71CE6">
        <w:rPr>
          <w:rFonts w:ascii="Arial" w:hAnsi="Arial" w:cs="Arial"/>
        </w:rPr>
        <w:t>“</w:t>
      </w:r>
      <w:r w:rsidR="0029003B" w:rsidRPr="004450DA">
        <w:rPr>
          <w:rFonts w:ascii="Arial" w:hAnsi="Arial" w:cs="Arial"/>
          <w:i/>
          <w:iCs/>
        </w:rPr>
        <w:t>cuando el inmueble y/o el hogar interesado en la cesión no cumpla con los criterios previstos en el artículo</w:t>
      </w:r>
      <w:r>
        <w:rPr>
          <w:rFonts w:ascii="Arial" w:hAnsi="Arial" w:cs="Arial"/>
          <w:i/>
          <w:iCs/>
        </w:rPr>
        <w:t xml:space="preserve"> </w:t>
      </w:r>
      <w:hyperlink r:id="rId11" w:anchor="14" w:history="1">
        <w:r w:rsidR="0029003B" w:rsidRPr="004450DA">
          <w:rPr>
            <w:rStyle w:val="Hipervnculo"/>
            <w:rFonts w:ascii="Arial" w:hAnsi="Arial" w:cs="Arial"/>
            <w:i/>
            <w:iCs/>
            <w:color w:val="auto"/>
            <w:u w:val="none"/>
          </w:rPr>
          <w:t>14</w:t>
        </w:r>
      </w:hyperlink>
      <w:r>
        <w:rPr>
          <w:rFonts w:ascii="Arial" w:hAnsi="Arial" w:cs="Arial"/>
          <w:i/>
          <w:iCs/>
        </w:rPr>
        <w:t xml:space="preserve"> </w:t>
      </w:r>
      <w:r w:rsidR="0029003B" w:rsidRPr="004450DA">
        <w:rPr>
          <w:rFonts w:ascii="Arial" w:hAnsi="Arial" w:cs="Arial"/>
          <w:i/>
          <w:iCs/>
        </w:rPr>
        <w:t xml:space="preserve">de la Ley 708 de 2001 </w:t>
      </w:r>
      <w:r w:rsidR="0029003B" w:rsidRPr="004450DA">
        <w:rPr>
          <w:rFonts w:ascii="Arial" w:hAnsi="Arial" w:cs="Arial"/>
          <w:b/>
          <w:bCs/>
          <w:i/>
          <w:iCs/>
        </w:rPr>
        <w:t>modificado por el artículo </w:t>
      </w:r>
      <w:hyperlink r:id="rId12" w:anchor="277" w:history="1">
        <w:r w:rsidR="0029003B" w:rsidRPr="004450DA">
          <w:rPr>
            <w:rStyle w:val="Hipervnculo"/>
            <w:rFonts w:ascii="Arial" w:hAnsi="Arial" w:cs="Arial"/>
            <w:b/>
            <w:bCs/>
            <w:i/>
            <w:iCs/>
            <w:color w:val="auto"/>
            <w:u w:val="none"/>
          </w:rPr>
          <w:t>277</w:t>
        </w:r>
      </w:hyperlink>
      <w:r w:rsidR="0029003B" w:rsidRPr="004450DA">
        <w:rPr>
          <w:rFonts w:ascii="Arial" w:hAnsi="Arial" w:cs="Arial"/>
          <w:b/>
          <w:bCs/>
          <w:i/>
          <w:iCs/>
        </w:rPr>
        <w:t> de la Ley 1955 de 2019</w:t>
      </w:r>
      <w:r w:rsidR="0029003B" w:rsidRPr="004450DA">
        <w:rPr>
          <w:rFonts w:ascii="Arial" w:hAnsi="Arial" w:cs="Arial"/>
          <w:i/>
          <w:iCs/>
        </w:rPr>
        <w:t xml:space="preserve"> y las normas que lo modifiquen, complementen, adicionen o reglamentan</w:t>
      </w:r>
      <w:r w:rsidR="00C71CE6">
        <w:rPr>
          <w:rFonts w:ascii="Arial" w:hAnsi="Arial" w:cs="Arial"/>
          <w:i/>
          <w:iCs/>
        </w:rPr>
        <w:t xml:space="preserve">” </w:t>
      </w:r>
      <w:r w:rsidR="00C71CE6">
        <w:rPr>
          <w:rFonts w:ascii="Arial" w:hAnsi="Arial" w:cs="Arial"/>
        </w:rPr>
        <w:t>(negrita añadida)</w:t>
      </w:r>
      <w:r w:rsidR="00575C81">
        <w:rPr>
          <w:rFonts w:ascii="Arial" w:hAnsi="Arial" w:cs="Arial"/>
        </w:rPr>
        <w:t>.</w:t>
      </w:r>
      <w:r w:rsidR="00513AB3">
        <w:rPr>
          <w:rFonts w:ascii="Arial" w:hAnsi="Arial" w:cs="Arial"/>
        </w:rPr>
        <w:t xml:space="preserve"> </w:t>
      </w:r>
    </w:p>
    <w:p w14:paraId="21FDCFC9" w14:textId="77777777" w:rsidR="00513AB3" w:rsidRDefault="00513AB3" w:rsidP="00CF0D7F">
      <w:pPr>
        <w:spacing w:after="0" w:line="240" w:lineRule="auto"/>
        <w:jc w:val="both"/>
        <w:rPr>
          <w:rFonts w:ascii="Arial" w:hAnsi="Arial" w:cs="Arial"/>
        </w:rPr>
      </w:pPr>
    </w:p>
    <w:p w14:paraId="57ECE7EB" w14:textId="54011DE5" w:rsidR="00163B6B" w:rsidRDefault="009602FE" w:rsidP="00CF0D7F">
      <w:pPr>
        <w:spacing w:after="0" w:line="240" w:lineRule="auto"/>
        <w:jc w:val="both"/>
        <w:rPr>
          <w:rFonts w:ascii="Arial" w:hAnsi="Arial" w:cs="Arial"/>
        </w:rPr>
      </w:pPr>
      <w:r>
        <w:rPr>
          <w:rFonts w:ascii="Arial" w:hAnsi="Arial" w:cs="Arial"/>
        </w:rPr>
        <w:t xml:space="preserve">Frente al procedimiento para realizar las enajenaciones directas de los bienes inmuebles fiscales relacionados anteriormente, </w:t>
      </w:r>
      <w:r w:rsidR="00163B6B">
        <w:rPr>
          <w:rFonts w:ascii="Arial" w:hAnsi="Arial" w:cs="Arial"/>
        </w:rPr>
        <w:t>e</w:t>
      </w:r>
      <w:r w:rsidR="00163B6B" w:rsidRPr="00522476">
        <w:rPr>
          <w:rFonts w:ascii="Arial" w:hAnsi="Arial" w:cs="Arial"/>
        </w:rPr>
        <w:t>l parágrafo 2 del artículo 2.1.2.2.2.13 del Decreto 1077 de 2015 (</w:t>
      </w:r>
      <w:r w:rsidR="00163B6B" w:rsidRPr="00F143F1">
        <w:rPr>
          <w:rFonts w:ascii="Arial" w:hAnsi="Arial" w:cs="Arial"/>
        </w:rPr>
        <w:t>modificado por el Decreto 523 de 2021</w:t>
      </w:r>
      <w:r w:rsidR="00163B6B" w:rsidRPr="00522476">
        <w:rPr>
          <w:rFonts w:ascii="Arial" w:hAnsi="Arial" w:cs="Arial"/>
        </w:rPr>
        <w:t>)</w:t>
      </w:r>
      <w:r w:rsidR="00EB3562">
        <w:rPr>
          <w:rFonts w:ascii="Arial" w:hAnsi="Arial" w:cs="Arial"/>
        </w:rPr>
        <w:t>,</w:t>
      </w:r>
      <w:r w:rsidR="00163B6B">
        <w:rPr>
          <w:rFonts w:ascii="Arial" w:hAnsi="Arial" w:cs="Arial"/>
        </w:rPr>
        <w:t xml:space="preserve"> </w:t>
      </w:r>
      <w:r w:rsidR="00AF1B12">
        <w:rPr>
          <w:rFonts w:ascii="Arial" w:hAnsi="Arial" w:cs="Arial"/>
        </w:rPr>
        <w:t xml:space="preserve">dispone </w:t>
      </w:r>
      <w:r>
        <w:rPr>
          <w:rFonts w:ascii="Arial" w:hAnsi="Arial" w:cs="Arial"/>
        </w:rPr>
        <w:t>lo siguiente</w:t>
      </w:r>
      <w:r w:rsidR="00163B6B">
        <w:rPr>
          <w:rFonts w:ascii="Arial" w:hAnsi="Arial" w:cs="Arial"/>
        </w:rPr>
        <w:t xml:space="preserve">: </w:t>
      </w:r>
    </w:p>
    <w:p w14:paraId="68805F8F" w14:textId="1FDEEEE8" w:rsidR="00163B6B" w:rsidRPr="00CF0D7F" w:rsidRDefault="00163B6B" w:rsidP="00CF0D7F">
      <w:pPr>
        <w:spacing w:after="0" w:line="240" w:lineRule="auto"/>
        <w:jc w:val="both"/>
        <w:rPr>
          <w:rFonts w:ascii="Arial" w:hAnsi="Arial" w:cs="Arial"/>
          <w:sz w:val="16"/>
          <w:szCs w:val="16"/>
        </w:rPr>
      </w:pPr>
    </w:p>
    <w:p w14:paraId="6CD37F05" w14:textId="23EFF734" w:rsidR="00FA4FB9" w:rsidRDefault="00163B6B" w:rsidP="00CF0D7F">
      <w:pPr>
        <w:pStyle w:val="Prrafodelista"/>
        <w:spacing w:after="0" w:line="240" w:lineRule="auto"/>
        <w:ind w:right="616"/>
        <w:jc w:val="both"/>
        <w:rPr>
          <w:rFonts w:ascii="Arial" w:hAnsi="Arial" w:cs="Arial"/>
          <w:i/>
          <w:iCs/>
          <w:color w:val="000000"/>
          <w:sz w:val="20"/>
          <w:szCs w:val="20"/>
        </w:rPr>
      </w:pPr>
      <w:r>
        <w:rPr>
          <w:rFonts w:ascii="Arial" w:hAnsi="Arial" w:cs="Arial"/>
          <w:i/>
          <w:iCs/>
          <w:sz w:val="20"/>
          <w:szCs w:val="20"/>
        </w:rPr>
        <w:t>“</w:t>
      </w:r>
      <w:r>
        <w:rPr>
          <w:rFonts w:ascii="Arial" w:hAnsi="Arial" w:cs="Arial"/>
          <w:i/>
          <w:iCs/>
          <w:color w:val="000000"/>
          <w:sz w:val="20"/>
          <w:szCs w:val="20"/>
        </w:rPr>
        <w:t xml:space="preserve">Las entidades públicas del orden nacional a las que hacen referencia el [sic] artículos 276 y </w:t>
      </w:r>
      <w:r w:rsidRPr="007121B1">
        <w:rPr>
          <w:rFonts w:ascii="Arial" w:hAnsi="Arial" w:cs="Arial"/>
          <w:b/>
          <w:bCs/>
          <w:i/>
          <w:iCs/>
          <w:color w:val="000000"/>
          <w:sz w:val="20"/>
          <w:szCs w:val="20"/>
        </w:rPr>
        <w:t>277 de la Ley 1955 de 2019</w:t>
      </w:r>
      <w:r>
        <w:rPr>
          <w:rFonts w:ascii="Arial" w:hAnsi="Arial" w:cs="Arial"/>
          <w:i/>
          <w:iCs/>
          <w:color w:val="000000"/>
          <w:sz w:val="20"/>
          <w:szCs w:val="20"/>
        </w:rPr>
        <w:t xml:space="preserve">, y los artículos 9 y el </w:t>
      </w:r>
      <w:r w:rsidRPr="007121B1">
        <w:rPr>
          <w:rFonts w:ascii="Arial" w:hAnsi="Arial" w:cs="Arial"/>
          <w:b/>
          <w:bCs/>
          <w:i/>
          <w:iCs/>
          <w:color w:val="000000"/>
          <w:sz w:val="20"/>
          <w:szCs w:val="20"/>
        </w:rPr>
        <w:t>14 de la Ley 2044 de 2020</w:t>
      </w:r>
      <w:r>
        <w:rPr>
          <w:rFonts w:ascii="Arial" w:hAnsi="Arial" w:cs="Arial"/>
          <w:i/>
          <w:iCs/>
          <w:color w:val="000000"/>
          <w:sz w:val="20"/>
          <w:szCs w:val="20"/>
        </w:rPr>
        <w:t xml:space="preserve">, </w:t>
      </w:r>
      <w:r w:rsidRPr="000E1985">
        <w:rPr>
          <w:rFonts w:ascii="Arial" w:hAnsi="Arial" w:cs="Arial"/>
          <w:b/>
          <w:bCs/>
          <w:i/>
          <w:iCs/>
          <w:color w:val="000000"/>
          <w:sz w:val="20"/>
          <w:szCs w:val="20"/>
        </w:rPr>
        <w:t>realizarán</w:t>
      </w:r>
      <w:r>
        <w:rPr>
          <w:rFonts w:ascii="Arial" w:hAnsi="Arial" w:cs="Arial"/>
          <w:i/>
          <w:iCs/>
          <w:color w:val="000000"/>
          <w:sz w:val="20"/>
          <w:szCs w:val="20"/>
        </w:rPr>
        <w:t xml:space="preserve"> el trámite de la enajenación directa dispuesto en el presente artículo </w:t>
      </w:r>
      <w:r w:rsidRPr="000E1985">
        <w:rPr>
          <w:rFonts w:ascii="Arial" w:hAnsi="Arial" w:cs="Arial"/>
          <w:b/>
          <w:bCs/>
          <w:i/>
          <w:iCs/>
          <w:color w:val="000000"/>
          <w:sz w:val="20"/>
          <w:szCs w:val="20"/>
        </w:rPr>
        <w:t>por medio del mecanismo previsto en el artículo 163 de la Ley 1753 de 2015</w:t>
      </w:r>
      <w:r>
        <w:rPr>
          <w:rFonts w:ascii="Arial" w:hAnsi="Arial" w:cs="Arial"/>
          <w:i/>
          <w:iCs/>
          <w:color w:val="000000"/>
          <w:sz w:val="20"/>
          <w:szCs w:val="20"/>
        </w:rPr>
        <w:t xml:space="preserve">, para que sea Central de Inversiones (CISA) quien gestione los inmuebles, </w:t>
      </w:r>
      <w:r w:rsidRPr="007121B1">
        <w:rPr>
          <w:rFonts w:ascii="Arial" w:hAnsi="Arial" w:cs="Arial"/>
          <w:i/>
          <w:iCs/>
          <w:color w:val="000000"/>
          <w:sz w:val="20"/>
          <w:szCs w:val="20"/>
        </w:rPr>
        <w:t>cuando la entidad territorial no los necesite, o en el evento en que no se acepte su enajenación, según sea el caso.</w:t>
      </w:r>
      <w:r w:rsidRPr="00E54155">
        <w:rPr>
          <w:rFonts w:ascii="Arial" w:hAnsi="Arial" w:cs="Arial"/>
          <w:i/>
          <w:iCs/>
          <w:color w:val="000000"/>
          <w:sz w:val="20"/>
          <w:szCs w:val="20"/>
        </w:rPr>
        <w:t>”</w:t>
      </w:r>
      <w:r>
        <w:rPr>
          <w:rFonts w:ascii="Arial" w:hAnsi="Arial" w:cs="Arial"/>
          <w:i/>
          <w:iCs/>
          <w:color w:val="000000"/>
          <w:sz w:val="20"/>
          <w:szCs w:val="20"/>
        </w:rPr>
        <w:t> </w:t>
      </w:r>
      <w:r>
        <w:rPr>
          <w:rFonts w:ascii="Arial" w:hAnsi="Arial" w:cs="Arial"/>
          <w:color w:val="000000"/>
          <w:sz w:val="20"/>
          <w:szCs w:val="20"/>
        </w:rPr>
        <w:t>(Negrita añadida)</w:t>
      </w:r>
      <w:r>
        <w:rPr>
          <w:rFonts w:ascii="Arial" w:hAnsi="Arial" w:cs="Arial"/>
          <w:i/>
          <w:iCs/>
          <w:color w:val="000000"/>
          <w:sz w:val="20"/>
          <w:szCs w:val="20"/>
        </w:rPr>
        <w:t> </w:t>
      </w:r>
    </w:p>
    <w:p w14:paraId="47EB571D" w14:textId="77777777" w:rsidR="00596A64" w:rsidRDefault="00596A64" w:rsidP="00CF0D7F">
      <w:pPr>
        <w:pStyle w:val="Prrafodelista"/>
        <w:spacing w:after="0" w:line="240" w:lineRule="auto"/>
        <w:ind w:right="616"/>
        <w:jc w:val="both"/>
        <w:rPr>
          <w:rFonts w:ascii="Arial" w:hAnsi="Arial" w:cs="Arial"/>
        </w:rPr>
      </w:pPr>
    </w:p>
    <w:p w14:paraId="0706B2E7" w14:textId="5769A39A" w:rsidR="00163B6B" w:rsidRPr="00AF1B12" w:rsidRDefault="003A41E8" w:rsidP="00CF0D7F">
      <w:pPr>
        <w:spacing w:after="0" w:line="240" w:lineRule="auto"/>
        <w:jc w:val="both"/>
        <w:rPr>
          <w:rFonts w:ascii="Arial" w:hAnsi="Arial" w:cs="Arial"/>
        </w:rPr>
      </w:pPr>
      <w:r>
        <w:rPr>
          <w:rFonts w:ascii="Arial" w:hAnsi="Arial" w:cs="Arial"/>
        </w:rPr>
        <w:t>De</w:t>
      </w:r>
      <w:r w:rsidR="00A56336">
        <w:rPr>
          <w:rFonts w:ascii="Arial" w:hAnsi="Arial" w:cs="Arial"/>
        </w:rPr>
        <w:t xml:space="preserve"> la lectura del citado parágrafo</w:t>
      </w:r>
      <w:r>
        <w:rPr>
          <w:rFonts w:ascii="Arial" w:hAnsi="Arial" w:cs="Arial"/>
        </w:rPr>
        <w:t>,</w:t>
      </w:r>
      <w:r w:rsidR="00A56336">
        <w:rPr>
          <w:rFonts w:ascii="Arial" w:hAnsi="Arial" w:cs="Arial"/>
        </w:rPr>
        <w:t xml:space="preserve"> se </w:t>
      </w:r>
      <w:r w:rsidR="00791AB6">
        <w:rPr>
          <w:rFonts w:ascii="Arial" w:hAnsi="Arial" w:cs="Arial"/>
        </w:rPr>
        <w:t xml:space="preserve">puede establecer </w:t>
      </w:r>
      <w:r>
        <w:rPr>
          <w:rFonts w:ascii="Arial" w:hAnsi="Arial" w:cs="Arial"/>
        </w:rPr>
        <w:t xml:space="preserve">que </w:t>
      </w:r>
      <w:r w:rsidR="00836305">
        <w:rPr>
          <w:rFonts w:ascii="Arial" w:hAnsi="Arial" w:cs="Arial"/>
        </w:rPr>
        <w:t xml:space="preserve">cuando </w:t>
      </w:r>
      <w:r>
        <w:rPr>
          <w:rFonts w:ascii="Arial" w:hAnsi="Arial" w:cs="Arial"/>
        </w:rPr>
        <w:t>las entidades públicas del orden nacional</w:t>
      </w:r>
      <w:r w:rsidR="00791AB6">
        <w:rPr>
          <w:rFonts w:ascii="Arial" w:hAnsi="Arial" w:cs="Arial"/>
        </w:rPr>
        <w:t xml:space="preserve"> </w:t>
      </w:r>
      <w:r w:rsidR="00836305">
        <w:rPr>
          <w:rFonts w:ascii="Arial" w:hAnsi="Arial" w:cs="Arial"/>
        </w:rPr>
        <w:t>requieran</w:t>
      </w:r>
      <w:r>
        <w:rPr>
          <w:rFonts w:ascii="Arial" w:hAnsi="Arial" w:cs="Arial"/>
        </w:rPr>
        <w:t xml:space="preserve"> </w:t>
      </w:r>
      <w:r w:rsidR="00791AB6">
        <w:rPr>
          <w:rFonts w:ascii="Arial" w:hAnsi="Arial" w:cs="Arial"/>
        </w:rPr>
        <w:t>efectuar las enajenaciones directas que tratan las normas objeto de consulta</w:t>
      </w:r>
      <w:r>
        <w:rPr>
          <w:rFonts w:ascii="Arial" w:hAnsi="Arial" w:cs="Arial"/>
        </w:rPr>
        <w:t xml:space="preserve">, </w:t>
      </w:r>
      <w:r w:rsidR="00791AB6">
        <w:rPr>
          <w:rFonts w:ascii="Arial" w:hAnsi="Arial" w:cs="Arial"/>
          <w:b/>
          <w:bCs/>
        </w:rPr>
        <w:t>debe</w:t>
      </w:r>
      <w:r w:rsidR="00836305">
        <w:rPr>
          <w:rFonts w:ascii="Arial" w:hAnsi="Arial" w:cs="Arial"/>
          <w:b/>
          <w:bCs/>
        </w:rPr>
        <w:t>rán</w:t>
      </w:r>
      <w:r w:rsidR="00791AB6">
        <w:rPr>
          <w:rFonts w:ascii="Arial" w:hAnsi="Arial" w:cs="Arial"/>
          <w:b/>
          <w:bCs/>
        </w:rPr>
        <w:t xml:space="preserve"> realizarlas</w:t>
      </w:r>
      <w:r w:rsidRPr="00CF0D7F">
        <w:rPr>
          <w:rFonts w:ascii="Arial" w:hAnsi="Arial" w:cs="Arial"/>
          <w:b/>
          <w:bCs/>
        </w:rPr>
        <w:t xml:space="preserve"> a través de la Central de Inversiones S.A. en los términos previstos en el artículo 163</w:t>
      </w:r>
      <w:r w:rsidR="00727B87">
        <w:rPr>
          <w:rStyle w:val="Refdenotaalpie"/>
          <w:rFonts w:ascii="Arial" w:hAnsi="Arial" w:cs="Arial"/>
          <w:b/>
          <w:bCs/>
        </w:rPr>
        <w:footnoteReference w:id="5"/>
      </w:r>
      <w:r w:rsidRPr="00CF0D7F">
        <w:rPr>
          <w:rFonts w:ascii="Arial" w:hAnsi="Arial" w:cs="Arial"/>
          <w:b/>
          <w:bCs/>
        </w:rPr>
        <w:t xml:space="preserve"> de la Ley 1753 de 2015.</w:t>
      </w:r>
      <w:r w:rsidR="00AF1B12">
        <w:rPr>
          <w:rFonts w:ascii="Arial" w:hAnsi="Arial" w:cs="Arial"/>
          <w:b/>
          <w:bCs/>
        </w:rPr>
        <w:t xml:space="preserve"> </w:t>
      </w:r>
      <w:r w:rsidR="00AF1B12">
        <w:rPr>
          <w:rFonts w:ascii="Arial" w:hAnsi="Arial" w:cs="Arial"/>
        </w:rPr>
        <w:t xml:space="preserve">Nótese que dentro de las </w:t>
      </w:r>
      <w:r w:rsidR="00AF1B12">
        <w:rPr>
          <w:rFonts w:ascii="Arial" w:hAnsi="Arial" w:cs="Arial"/>
        </w:rPr>
        <w:lastRenderedPageBreak/>
        <w:t xml:space="preserve">excepciones que trae la norma no se encuentra el ICBF, ni los bienes adquiridos </w:t>
      </w:r>
      <w:proofErr w:type="gramStart"/>
      <w:r w:rsidR="00AF1B12">
        <w:rPr>
          <w:rFonts w:ascii="Arial" w:hAnsi="Arial" w:cs="Arial"/>
        </w:rPr>
        <w:t>en razón de</w:t>
      </w:r>
      <w:proofErr w:type="gramEnd"/>
      <w:r w:rsidR="00AF1B12">
        <w:rPr>
          <w:rFonts w:ascii="Arial" w:hAnsi="Arial" w:cs="Arial"/>
        </w:rPr>
        <w:t xml:space="preserve"> vocación hereditaria, vacancia o dación en pago por concepto de parafiscales. Esto implica, en respuesta a la consulta, que no existe un regla especial o excepcional que haya sido creada por el legislador para la aplicación del régimen referido.</w:t>
      </w:r>
    </w:p>
    <w:p w14:paraId="0DE6FA6F" w14:textId="77777777" w:rsidR="00A56336" w:rsidRDefault="00A56336" w:rsidP="00CF0D7F">
      <w:pPr>
        <w:spacing w:after="0" w:line="240" w:lineRule="auto"/>
        <w:jc w:val="both"/>
        <w:rPr>
          <w:rFonts w:ascii="Arial" w:hAnsi="Arial" w:cs="Arial"/>
        </w:rPr>
      </w:pPr>
    </w:p>
    <w:p w14:paraId="53F3ED8E" w14:textId="5DD140DC" w:rsidR="00317B87" w:rsidRDefault="002F0391" w:rsidP="00CF0D7F">
      <w:pPr>
        <w:spacing w:after="0" w:line="240" w:lineRule="auto"/>
        <w:jc w:val="both"/>
        <w:rPr>
          <w:rFonts w:ascii="Arial" w:hAnsi="Arial" w:cs="Arial"/>
        </w:rPr>
      </w:pPr>
      <w:r>
        <w:rPr>
          <w:rFonts w:ascii="Arial" w:hAnsi="Arial" w:cs="Arial"/>
        </w:rPr>
        <w:t xml:space="preserve">Lo anterior, se relaciona directamente con el objeto social de CISA, pues de acuerdo </w:t>
      </w:r>
      <w:r w:rsidR="007C0257" w:rsidRPr="00522476">
        <w:rPr>
          <w:rFonts w:ascii="Arial" w:hAnsi="Arial" w:cs="Arial"/>
        </w:rPr>
        <w:t>con los estatutos sociales</w:t>
      </w:r>
      <w:r w:rsidRPr="00522476">
        <w:rPr>
          <w:rStyle w:val="Refdenotaalpie"/>
          <w:rFonts w:ascii="Arial" w:hAnsi="Arial" w:cs="Arial"/>
        </w:rPr>
        <w:footnoteReference w:id="6"/>
      </w:r>
      <w:r>
        <w:rPr>
          <w:rFonts w:ascii="Arial" w:hAnsi="Arial" w:cs="Arial"/>
        </w:rPr>
        <w:t>,</w:t>
      </w:r>
      <w:r w:rsidR="007C0257" w:rsidRPr="00522476">
        <w:rPr>
          <w:rFonts w:ascii="Arial" w:hAnsi="Arial" w:cs="Arial"/>
        </w:rPr>
        <w:t xml:space="preserve"> </w:t>
      </w:r>
      <w:r>
        <w:rPr>
          <w:rFonts w:ascii="Arial" w:hAnsi="Arial" w:cs="Arial"/>
        </w:rPr>
        <w:t xml:space="preserve">una de sus funciones </w:t>
      </w:r>
      <w:r w:rsidR="00B31B70">
        <w:rPr>
          <w:rFonts w:ascii="Arial" w:hAnsi="Arial" w:cs="Arial"/>
        </w:rPr>
        <w:t>es</w:t>
      </w:r>
      <w:r w:rsidR="007C0257" w:rsidRPr="00522476">
        <w:rPr>
          <w:rFonts w:ascii="Arial" w:hAnsi="Arial" w:cs="Arial"/>
        </w:rPr>
        <w:t xml:space="preserve"> </w:t>
      </w:r>
      <w:r w:rsidR="007C0257" w:rsidRPr="00522476">
        <w:rPr>
          <w:rFonts w:ascii="Arial" w:hAnsi="Arial" w:cs="Arial"/>
          <w:i/>
        </w:rPr>
        <w:t>comercializar</w:t>
      </w:r>
      <w:r w:rsidR="007C0257" w:rsidRPr="00522476">
        <w:rPr>
          <w:rFonts w:ascii="Arial" w:hAnsi="Arial" w:cs="Arial"/>
        </w:rPr>
        <w:t xml:space="preserve"> y </w:t>
      </w:r>
      <w:r w:rsidR="007C0257" w:rsidRPr="00522476">
        <w:rPr>
          <w:rFonts w:ascii="Arial" w:hAnsi="Arial" w:cs="Arial"/>
          <w:i/>
        </w:rPr>
        <w:t>enajenar “</w:t>
      </w:r>
      <w:r w:rsidR="007C0257" w:rsidRPr="00522476">
        <w:rPr>
          <w:rFonts w:ascii="Arial" w:hAnsi="Arial" w:cs="Arial"/>
        </w:rPr>
        <w:t>toda clase de bienes inmuebles cuyos propietarios sean entidades públicas de cualquier orden o rama”</w:t>
      </w:r>
      <w:r w:rsidR="007C0257" w:rsidRPr="00522476">
        <w:rPr>
          <w:rStyle w:val="Refdenotaalpie"/>
          <w:rFonts w:ascii="Arial" w:hAnsi="Arial" w:cs="Arial"/>
        </w:rPr>
        <w:footnoteReference w:id="7"/>
      </w:r>
      <w:r w:rsidR="00317B87" w:rsidRPr="00522476">
        <w:rPr>
          <w:rFonts w:ascii="Arial" w:hAnsi="Arial" w:cs="Arial"/>
        </w:rPr>
        <w:t>.</w:t>
      </w:r>
    </w:p>
    <w:p w14:paraId="7199811E" w14:textId="77777777" w:rsidR="00C82E3B" w:rsidRPr="00DC474D" w:rsidRDefault="00C82E3B" w:rsidP="00CF0D7F">
      <w:pPr>
        <w:spacing w:after="0" w:line="240" w:lineRule="auto"/>
        <w:jc w:val="both"/>
        <w:rPr>
          <w:rFonts w:ascii="Arial" w:hAnsi="Arial" w:cs="Arial"/>
        </w:rPr>
      </w:pPr>
    </w:p>
    <w:p w14:paraId="49BD0909" w14:textId="7F46AB8D" w:rsidR="005C13D2" w:rsidRDefault="00AF1B12" w:rsidP="00CF0D7F">
      <w:pPr>
        <w:spacing w:after="0" w:line="240" w:lineRule="auto"/>
        <w:jc w:val="both"/>
        <w:rPr>
          <w:rFonts w:ascii="Arial" w:hAnsi="Arial" w:cs="Arial"/>
        </w:rPr>
      </w:pPr>
      <w:r>
        <w:rPr>
          <w:rFonts w:ascii="Arial" w:hAnsi="Arial" w:cs="Arial"/>
          <w:bCs/>
        </w:rPr>
        <w:t>F</w:t>
      </w:r>
      <w:r w:rsidR="00C82E3B">
        <w:rPr>
          <w:rFonts w:ascii="Arial" w:hAnsi="Arial" w:cs="Arial"/>
          <w:bCs/>
        </w:rPr>
        <w:t xml:space="preserve">rente a </w:t>
      </w:r>
      <w:r w:rsidR="00C82E3B">
        <w:rPr>
          <w:rFonts w:ascii="Arial" w:hAnsi="Arial" w:cs="Arial"/>
        </w:rPr>
        <w:t>l</w:t>
      </w:r>
      <w:r w:rsidR="005C13D2">
        <w:rPr>
          <w:rFonts w:ascii="Arial" w:hAnsi="Arial" w:cs="Arial"/>
        </w:rPr>
        <w:t>os i</w:t>
      </w:r>
      <w:r w:rsidR="000E01C1">
        <w:rPr>
          <w:rFonts w:ascii="Arial" w:hAnsi="Arial" w:cs="Arial"/>
        </w:rPr>
        <w:t>nmuebles adjudicados al ICBF en virtud de su vocación hereditaria, declaratoria de vacantes y como dación en pago por concepto de parafiscales,</w:t>
      </w:r>
      <w:r w:rsidR="00C82E3B">
        <w:rPr>
          <w:rFonts w:ascii="Arial" w:hAnsi="Arial" w:cs="Arial"/>
        </w:rPr>
        <w:t xml:space="preserve"> cabe precisar que el carácter especial que ostentan</w:t>
      </w:r>
      <w:r w:rsidR="006F2136">
        <w:rPr>
          <w:rFonts w:ascii="Arial" w:hAnsi="Arial" w:cs="Arial"/>
        </w:rPr>
        <w:t xml:space="preserve"> estos </w:t>
      </w:r>
      <w:proofErr w:type="gramStart"/>
      <w:r w:rsidR="006F2136">
        <w:rPr>
          <w:rFonts w:ascii="Arial" w:hAnsi="Arial" w:cs="Arial"/>
        </w:rPr>
        <w:t>bienes</w:t>
      </w:r>
      <w:r w:rsidR="00C82E3B">
        <w:rPr>
          <w:rFonts w:ascii="Arial" w:hAnsi="Arial" w:cs="Arial"/>
        </w:rPr>
        <w:t>,</w:t>
      </w:r>
      <w:proofErr w:type="gramEnd"/>
      <w:r w:rsidR="00C82E3B">
        <w:rPr>
          <w:rFonts w:ascii="Arial" w:hAnsi="Arial" w:cs="Arial"/>
        </w:rPr>
        <w:t xml:space="preserve"> se relaciona con la manera en </w:t>
      </w:r>
      <w:r w:rsidR="006F2136">
        <w:rPr>
          <w:rFonts w:ascii="Arial" w:hAnsi="Arial" w:cs="Arial"/>
        </w:rPr>
        <w:t xml:space="preserve">la </w:t>
      </w:r>
      <w:r w:rsidR="00C82E3B">
        <w:rPr>
          <w:rFonts w:ascii="Arial" w:hAnsi="Arial" w:cs="Arial"/>
        </w:rPr>
        <w:t xml:space="preserve">que el Instituto los recibe, </w:t>
      </w:r>
      <w:r w:rsidR="000E01C1" w:rsidRPr="00DF3CB0">
        <w:rPr>
          <w:rFonts w:ascii="Arial" w:hAnsi="Arial" w:cs="Arial"/>
        </w:rPr>
        <w:t xml:space="preserve">pues </w:t>
      </w:r>
      <w:r w:rsidR="006F2136">
        <w:rPr>
          <w:rFonts w:ascii="Arial" w:hAnsi="Arial" w:cs="Arial"/>
        </w:rPr>
        <w:t>al tratarse</w:t>
      </w:r>
      <w:r w:rsidR="000E01C1" w:rsidRPr="00DF3CB0">
        <w:rPr>
          <w:rFonts w:ascii="Arial" w:hAnsi="Arial" w:cs="Arial"/>
        </w:rPr>
        <w:t xml:space="preserve"> de asignaciones realizadas directamente por el Código Civil</w:t>
      </w:r>
      <w:r w:rsidR="000F34AB">
        <w:rPr>
          <w:rStyle w:val="Refdenotaalpie"/>
          <w:rFonts w:ascii="Arial" w:hAnsi="Arial" w:cs="Arial"/>
        </w:rPr>
        <w:footnoteReference w:id="8"/>
      </w:r>
      <w:r w:rsidR="000E01C1" w:rsidRPr="00DF3CB0">
        <w:rPr>
          <w:rFonts w:ascii="Arial" w:hAnsi="Arial" w:cs="Arial"/>
        </w:rPr>
        <w:t>, la Ley</w:t>
      </w:r>
      <w:r w:rsidR="000F34AB">
        <w:rPr>
          <w:rStyle w:val="Refdenotaalpie"/>
          <w:rFonts w:ascii="Arial" w:hAnsi="Arial" w:cs="Arial"/>
        </w:rPr>
        <w:footnoteReference w:id="9"/>
      </w:r>
      <w:r w:rsidR="000E01C1" w:rsidRPr="00DF3CB0">
        <w:rPr>
          <w:rFonts w:ascii="Arial" w:hAnsi="Arial" w:cs="Arial"/>
        </w:rPr>
        <w:t xml:space="preserve"> y por disposición judicial</w:t>
      </w:r>
      <w:r w:rsidR="00C82E3B">
        <w:rPr>
          <w:rFonts w:ascii="Arial" w:hAnsi="Arial" w:cs="Arial"/>
        </w:rPr>
        <w:t xml:space="preserve">, </w:t>
      </w:r>
      <w:r w:rsidR="006F2136">
        <w:rPr>
          <w:rFonts w:ascii="Arial" w:hAnsi="Arial" w:cs="Arial"/>
        </w:rPr>
        <w:t>difieren de las</w:t>
      </w:r>
      <w:r w:rsidR="00C82E3B" w:rsidRPr="00DF3CB0">
        <w:rPr>
          <w:rFonts w:ascii="Arial" w:hAnsi="Arial" w:cs="Arial"/>
        </w:rPr>
        <w:t xml:space="preserve"> forma</w:t>
      </w:r>
      <w:r w:rsidR="006F2136">
        <w:rPr>
          <w:rFonts w:ascii="Arial" w:hAnsi="Arial" w:cs="Arial"/>
        </w:rPr>
        <w:t>s</w:t>
      </w:r>
      <w:r w:rsidR="00C82E3B" w:rsidRPr="00DF3CB0">
        <w:rPr>
          <w:rFonts w:ascii="Arial" w:hAnsi="Arial" w:cs="Arial"/>
        </w:rPr>
        <w:t xml:space="preserve"> en la</w:t>
      </w:r>
      <w:r w:rsidR="006F2136">
        <w:rPr>
          <w:rFonts w:ascii="Arial" w:hAnsi="Arial" w:cs="Arial"/>
        </w:rPr>
        <w:t>s</w:t>
      </w:r>
      <w:r w:rsidR="00C82E3B" w:rsidRPr="00DF3CB0">
        <w:rPr>
          <w:rFonts w:ascii="Arial" w:hAnsi="Arial" w:cs="Arial"/>
        </w:rPr>
        <w:t xml:space="preserve"> que</w:t>
      </w:r>
      <w:r w:rsidR="00C82E3B">
        <w:rPr>
          <w:rFonts w:ascii="Arial" w:hAnsi="Arial" w:cs="Arial"/>
        </w:rPr>
        <w:t xml:space="preserve"> habitualmente</w:t>
      </w:r>
      <w:r w:rsidR="00C82E3B" w:rsidRPr="00DF3CB0">
        <w:rPr>
          <w:rFonts w:ascii="Arial" w:hAnsi="Arial" w:cs="Arial"/>
        </w:rPr>
        <w:t xml:space="preserve"> otra</w:t>
      </w:r>
      <w:r w:rsidR="006F2136">
        <w:rPr>
          <w:rFonts w:ascii="Arial" w:hAnsi="Arial" w:cs="Arial"/>
        </w:rPr>
        <w:t>s</w:t>
      </w:r>
      <w:r w:rsidR="00C82E3B" w:rsidRPr="00DF3CB0">
        <w:rPr>
          <w:rFonts w:ascii="Arial" w:hAnsi="Arial" w:cs="Arial"/>
        </w:rPr>
        <w:t xml:space="preserve"> entidad</w:t>
      </w:r>
      <w:r w:rsidR="006F2136">
        <w:rPr>
          <w:rFonts w:ascii="Arial" w:hAnsi="Arial" w:cs="Arial"/>
        </w:rPr>
        <w:t>es</w:t>
      </w:r>
      <w:r w:rsidR="00C82E3B" w:rsidRPr="00DF3CB0">
        <w:rPr>
          <w:rFonts w:ascii="Arial" w:hAnsi="Arial" w:cs="Arial"/>
        </w:rPr>
        <w:t xml:space="preserve"> </w:t>
      </w:r>
      <w:r w:rsidR="00C82E3B">
        <w:rPr>
          <w:rFonts w:ascii="Arial" w:hAnsi="Arial" w:cs="Arial"/>
        </w:rPr>
        <w:t>pública</w:t>
      </w:r>
      <w:r w:rsidR="006F2136">
        <w:rPr>
          <w:rFonts w:ascii="Arial" w:hAnsi="Arial" w:cs="Arial"/>
        </w:rPr>
        <w:t>s reciben sus inmuebles</w:t>
      </w:r>
      <w:r w:rsidR="005C13D2">
        <w:rPr>
          <w:rFonts w:ascii="Arial" w:hAnsi="Arial" w:cs="Arial"/>
        </w:rPr>
        <w:t>.</w:t>
      </w:r>
    </w:p>
    <w:p w14:paraId="38CB059A" w14:textId="77777777" w:rsidR="005C13D2" w:rsidRDefault="005C13D2" w:rsidP="00CF0D7F">
      <w:pPr>
        <w:spacing w:after="0" w:line="240" w:lineRule="auto"/>
        <w:jc w:val="both"/>
        <w:rPr>
          <w:rFonts w:ascii="Arial" w:hAnsi="Arial" w:cs="Arial"/>
        </w:rPr>
      </w:pPr>
    </w:p>
    <w:p w14:paraId="14E43BB2" w14:textId="3604F447" w:rsidR="005C0935" w:rsidRDefault="005C13D2" w:rsidP="00CF0D7F">
      <w:pPr>
        <w:spacing w:after="0" w:line="240" w:lineRule="auto"/>
        <w:jc w:val="both"/>
        <w:rPr>
          <w:rFonts w:ascii="Arial" w:hAnsi="Arial" w:cs="Arial"/>
        </w:rPr>
      </w:pPr>
      <w:r>
        <w:rPr>
          <w:rFonts w:ascii="Arial" w:hAnsi="Arial" w:cs="Arial"/>
        </w:rPr>
        <w:t xml:space="preserve">Sin embargo, </w:t>
      </w:r>
      <w:r w:rsidR="00BC7B49">
        <w:rPr>
          <w:rFonts w:ascii="Arial" w:hAnsi="Arial" w:cs="Arial"/>
        </w:rPr>
        <w:t xml:space="preserve">el legislador no establece </w:t>
      </w:r>
      <w:r w:rsidR="000A4746">
        <w:rPr>
          <w:rFonts w:ascii="Arial" w:hAnsi="Arial" w:cs="Arial"/>
        </w:rPr>
        <w:t xml:space="preserve">un marco normativo especial </w:t>
      </w:r>
      <w:r w:rsidR="00341496">
        <w:rPr>
          <w:rFonts w:ascii="Arial" w:hAnsi="Arial" w:cs="Arial"/>
        </w:rPr>
        <w:t>que determine la</w:t>
      </w:r>
      <w:r w:rsidR="000A4746">
        <w:rPr>
          <w:rFonts w:ascii="Arial" w:hAnsi="Arial" w:cs="Arial"/>
        </w:rPr>
        <w:t xml:space="preserve"> destinación y enajenación</w:t>
      </w:r>
      <w:r w:rsidR="00341496">
        <w:rPr>
          <w:rFonts w:ascii="Arial" w:hAnsi="Arial" w:cs="Arial"/>
        </w:rPr>
        <w:t xml:space="preserve"> de</w:t>
      </w:r>
      <w:r w:rsidR="00C457FF">
        <w:rPr>
          <w:rFonts w:ascii="Arial" w:hAnsi="Arial" w:cs="Arial"/>
        </w:rPr>
        <w:t xml:space="preserve"> este tipo de</w:t>
      </w:r>
      <w:r w:rsidR="006F2136">
        <w:rPr>
          <w:rFonts w:ascii="Arial" w:hAnsi="Arial" w:cs="Arial"/>
        </w:rPr>
        <w:t xml:space="preserve"> </w:t>
      </w:r>
      <w:r w:rsidR="00C457FF">
        <w:rPr>
          <w:rFonts w:ascii="Arial" w:hAnsi="Arial" w:cs="Arial"/>
        </w:rPr>
        <w:t>bienes</w:t>
      </w:r>
      <w:r w:rsidR="00AF1B12">
        <w:rPr>
          <w:rFonts w:ascii="Arial" w:hAnsi="Arial" w:cs="Arial"/>
        </w:rPr>
        <w:t>. P</w:t>
      </w:r>
      <w:r w:rsidR="000A4746">
        <w:rPr>
          <w:rFonts w:ascii="Arial" w:hAnsi="Arial" w:cs="Arial"/>
        </w:rPr>
        <w:t>or ende, el I</w:t>
      </w:r>
      <w:r w:rsidR="006E5A2B">
        <w:rPr>
          <w:rFonts w:ascii="Arial" w:hAnsi="Arial" w:cs="Arial"/>
        </w:rPr>
        <w:t>CBF</w:t>
      </w:r>
      <w:r w:rsidR="000A4746">
        <w:rPr>
          <w:rFonts w:ascii="Arial" w:hAnsi="Arial" w:cs="Arial"/>
        </w:rPr>
        <w:t xml:space="preserve"> no está exento </w:t>
      </w:r>
      <w:r w:rsidR="0098663D">
        <w:rPr>
          <w:rFonts w:ascii="Arial" w:hAnsi="Arial" w:cs="Arial"/>
        </w:rPr>
        <w:t>de dar aplicación al régimen jurídico</w:t>
      </w:r>
      <w:r w:rsidR="00C457FF">
        <w:rPr>
          <w:rFonts w:ascii="Arial" w:hAnsi="Arial" w:cs="Arial"/>
        </w:rPr>
        <w:t xml:space="preserve"> de enajenación directa de </w:t>
      </w:r>
      <w:r w:rsidR="00D41BDA">
        <w:rPr>
          <w:rFonts w:ascii="Arial" w:hAnsi="Arial" w:cs="Arial"/>
        </w:rPr>
        <w:t>inmuebles</w:t>
      </w:r>
      <w:r w:rsidR="00C457FF">
        <w:rPr>
          <w:rFonts w:ascii="Arial" w:hAnsi="Arial" w:cs="Arial"/>
        </w:rPr>
        <w:t xml:space="preserve"> fiscales</w:t>
      </w:r>
      <w:r w:rsidR="0098663D">
        <w:rPr>
          <w:rFonts w:ascii="Arial" w:hAnsi="Arial" w:cs="Arial"/>
        </w:rPr>
        <w:t xml:space="preserve"> </w:t>
      </w:r>
      <w:r w:rsidR="00D41BDA">
        <w:rPr>
          <w:rFonts w:ascii="Arial" w:hAnsi="Arial" w:cs="Arial"/>
        </w:rPr>
        <w:t xml:space="preserve">ocupados ilegalmente </w:t>
      </w:r>
      <w:r w:rsidR="00AD2F06">
        <w:rPr>
          <w:rFonts w:ascii="Arial" w:hAnsi="Arial" w:cs="Arial"/>
        </w:rPr>
        <w:t>previsto para las</w:t>
      </w:r>
      <w:r w:rsidR="00DC474D">
        <w:rPr>
          <w:rFonts w:ascii="Arial" w:hAnsi="Arial" w:cs="Arial"/>
        </w:rPr>
        <w:t xml:space="preserve"> demás</w:t>
      </w:r>
      <w:r w:rsidR="00AD2F06">
        <w:rPr>
          <w:rFonts w:ascii="Arial" w:hAnsi="Arial" w:cs="Arial"/>
        </w:rPr>
        <w:t xml:space="preserve"> entidades públicas del orden nacional</w:t>
      </w:r>
      <w:r w:rsidR="00146472">
        <w:rPr>
          <w:rFonts w:ascii="Arial" w:hAnsi="Arial" w:cs="Arial"/>
        </w:rPr>
        <w:t xml:space="preserve"> cuando se trate de </w:t>
      </w:r>
      <w:r w:rsidR="00146472">
        <w:rPr>
          <w:rFonts w:ascii="Arial" w:hAnsi="Arial" w:cs="Arial"/>
          <w:bCs/>
        </w:rPr>
        <w:t xml:space="preserve">inmuebles </w:t>
      </w:r>
      <w:r w:rsidR="00146472">
        <w:rPr>
          <w:rFonts w:ascii="Arial" w:hAnsi="Arial" w:cs="Arial"/>
        </w:rPr>
        <w:t>recibidos por su vocación hereditaria, declaratoria de vacantes o como dación en pago por concepto de parafiscales</w:t>
      </w:r>
      <w:r w:rsidR="005C0935">
        <w:rPr>
          <w:rFonts w:ascii="Arial" w:hAnsi="Arial" w:cs="Arial"/>
        </w:rPr>
        <w:t>.</w:t>
      </w:r>
    </w:p>
    <w:p w14:paraId="13E31167" w14:textId="77777777" w:rsidR="005C0935" w:rsidRDefault="005C0935" w:rsidP="00CF0D7F">
      <w:pPr>
        <w:spacing w:after="0" w:line="240" w:lineRule="auto"/>
        <w:jc w:val="both"/>
        <w:rPr>
          <w:rFonts w:ascii="Arial" w:hAnsi="Arial" w:cs="Arial"/>
        </w:rPr>
      </w:pPr>
    </w:p>
    <w:p w14:paraId="77508106" w14:textId="41A8AB10" w:rsidR="00C457FF" w:rsidRDefault="005C0935" w:rsidP="00CF0D7F">
      <w:pPr>
        <w:spacing w:after="0" w:line="240" w:lineRule="auto"/>
        <w:jc w:val="both"/>
        <w:rPr>
          <w:rFonts w:ascii="Arial" w:hAnsi="Arial" w:cs="Arial"/>
          <w:b/>
          <w:bCs/>
        </w:rPr>
      </w:pPr>
      <w:r>
        <w:rPr>
          <w:rFonts w:ascii="Arial" w:hAnsi="Arial" w:cs="Arial"/>
        </w:rPr>
        <w:t>Así las cosas, en concordancia con el procedimiento previsto en el</w:t>
      </w:r>
      <w:r w:rsidRPr="00522476">
        <w:rPr>
          <w:rFonts w:ascii="Arial" w:hAnsi="Arial" w:cs="Arial"/>
        </w:rPr>
        <w:t xml:space="preserve"> parágrafo 2 del artículo 2.1.2.2.2.13 del Decreto 1077 de 2015 (</w:t>
      </w:r>
      <w:r w:rsidRPr="00F143F1">
        <w:rPr>
          <w:rFonts w:ascii="Arial" w:hAnsi="Arial" w:cs="Arial"/>
        </w:rPr>
        <w:t>modificado por el Decreto 523 de 2021</w:t>
      </w:r>
      <w:r w:rsidRPr="00522476">
        <w:rPr>
          <w:rFonts w:ascii="Arial" w:hAnsi="Arial" w:cs="Arial"/>
        </w:rPr>
        <w:t>)</w:t>
      </w:r>
      <w:r>
        <w:rPr>
          <w:rFonts w:ascii="Arial" w:hAnsi="Arial" w:cs="Arial"/>
        </w:rPr>
        <w:t xml:space="preserve">, el Instituto debe realizar la enajenación directa </w:t>
      </w:r>
      <w:r w:rsidR="001C3DAB">
        <w:rPr>
          <w:rFonts w:ascii="Arial" w:hAnsi="Arial" w:cs="Arial"/>
        </w:rPr>
        <w:t>de dichos</w:t>
      </w:r>
      <w:r>
        <w:rPr>
          <w:rFonts w:ascii="Arial" w:hAnsi="Arial" w:cs="Arial"/>
        </w:rPr>
        <w:t xml:space="preserve"> inmuebles a los ocupantes ilegales,</w:t>
      </w:r>
      <w:r w:rsidR="00CB479E">
        <w:rPr>
          <w:rFonts w:ascii="Arial" w:hAnsi="Arial" w:cs="Arial"/>
        </w:rPr>
        <w:t xml:space="preserve"> </w:t>
      </w:r>
      <w:r w:rsidR="00CB479E">
        <w:rPr>
          <w:rFonts w:ascii="Arial" w:hAnsi="Arial" w:cs="Arial"/>
          <w:bCs/>
        </w:rPr>
        <w:t>a través de CISA en los términos previstos en el artículo 163 de la Ley 1753 de 2015</w:t>
      </w:r>
      <w:r w:rsidR="00CB479E">
        <w:rPr>
          <w:rFonts w:ascii="Arial" w:hAnsi="Arial" w:cs="Arial"/>
        </w:rPr>
        <w:t>.</w:t>
      </w:r>
      <w:r w:rsidR="00CB479E">
        <w:rPr>
          <w:rFonts w:ascii="Arial" w:hAnsi="Arial" w:cs="Arial"/>
          <w:bCs/>
        </w:rPr>
        <w:t xml:space="preserve">  </w:t>
      </w:r>
      <w:r>
        <w:rPr>
          <w:rFonts w:ascii="Arial" w:hAnsi="Arial" w:cs="Arial"/>
          <w:bCs/>
        </w:rPr>
        <w:t xml:space="preserve"> </w:t>
      </w:r>
    </w:p>
    <w:p w14:paraId="30B9EC8D" w14:textId="77777777" w:rsidR="00CB479E" w:rsidRDefault="00CB479E" w:rsidP="00CF0D7F">
      <w:pPr>
        <w:spacing w:after="0" w:line="240" w:lineRule="auto"/>
        <w:jc w:val="both"/>
        <w:rPr>
          <w:rFonts w:ascii="Arial" w:hAnsi="Arial" w:cs="Arial"/>
        </w:rPr>
      </w:pPr>
    </w:p>
    <w:p w14:paraId="17F90B12" w14:textId="00D66345" w:rsidR="00C37EFF" w:rsidRDefault="00A70E30" w:rsidP="00CF0D7F">
      <w:pPr>
        <w:spacing w:after="0" w:line="240" w:lineRule="auto"/>
        <w:jc w:val="both"/>
        <w:rPr>
          <w:rFonts w:ascii="Arial" w:hAnsi="Arial" w:cs="Arial"/>
        </w:rPr>
      </w:pPr>
      <w:r>
        <w:rPr>
          <w:rFonts w:ascii="Arial" w:hAnsi="Arial" w:cs="Arial"/>
        </w:rPr>
        <w:t xml:space="preserve">Un aspecto importante </w:t>
      </w:r>
      <w:proofErr w:type="gramStart"/>
      <w:r>
        <w:rPr>
          <w:rFonts w:ascii="Arial" w:hAnsi="Arial" w:cs="Arial"/>
        </w:rPr>
        <w:t>a</w:t>
      </w:r>
      <w:proofErr w:type="gramEnd"/>
      <w:r>
        <w:rPr>
          <w:rFonts w:ascii="Arial" w:hAnsi="Arial" w:cs="Arial"/>
        </w:rPr>
        <w:t xml:space="preserve"> tener en cuenta</w:t>
      </w:r>
      <w:r w:rsidR="00C30FF2">
        <w:rPr>
          <w:rFonts w:ascii="Arial" w:hAnsi="Arial" w:cs="Arial"/>
        </w:rPr>
        <w:t xml:space="preserve"> cuando la</w:t>
      </w:r>
      <w:r w:rsidR="00C30FF2" w:rsidRPr="00232B2F">
        <w:rPr>
          <w:rFonts w:ascii="Arial" w:hAnsi="Arial" w:cs="Arial"/>
        </w:rPr>
        <w:t xml:space="preserve"> enajenación directa</w:t>
      </w:r>
      <w:r w:rsidR="00C30FF2" w:rsidRPr="00EE336D">
        <w:rPr>
          <w:rFonts w:ascii="Arial" w:hAnsi="Arial" w:cs="Arial"/>
        </w:rPr>
        <w:t xml:space="preserve"> al ocupante ilegal</w:t>
      </w:r>
      <w:r>
        <w:rPr>
          <w:rFonts w:ascii="Arial" w:hAnsi="Arial" w:cs="Arial"/>
        </w:rPr>
        <w:t xml:space="preserve"> </w:t>
      </w:r>
      <w:r w:rsidR="00C30FF2">
        <w:rPr>
          <w:rFonts w:ascii="Arial" w:hAnsi="Arial" w:cs="Arial"/>
        </w:rPr>
        <w:t>verse sobre inmuebles</w:t>
      </w:r>
      <w:r w:rsidRPr="00EE336D">
        <w:rPr>
          <w:rFonts w:ascii="Arial" w:hAnsi="Arial" w:cs="Arial"/>
        </w:rPr>
        <w:t xml:space="preserve"> adjudicados al</w:t>
      </w:r>
      <w:r>
        <w:rPr>
          <w:rFonts w:ascii="Arial" w:hAnsi="Arial" w:cs="Arial"/>
        </w:rPr>
        <w:t xml:space="preserve"> ICBF</w:t>
      </w:r>
      <w:r w:rsidRPr="00EE336D">
        <w:rPr>
          <w:rFonts w:ascii="Arial" w:hAnsi="Arial" w:cs="Arial"/>
        </w:rPr>
        <w:t xml:space="preserve"> en virtud de su vocación hereditaria o de declaratoria de vacantes</w:t>
      </w:r>
      <w:r w:rsidR="006E479F">
        <w:rPr>
          <w:rFonts w:ascii="Arial" w:hAnsi="Arial" w:cs="Arial"/>
        </w:rPr>
        <w:t xml:space="preserve">, </w:t>
      </w:r>
      <w:r>
        <w:rPr>
          <w:rFonts w:ascii="Arial" w:hAnsi="Arial" w:cs="Arial"/>
        </w:rPr>
        <w:t>es el pago de la participación económica</w:t>
      </w:r>
      <w:r w:rsidRPr="00232B2F">
        <w:rPr>
          <w:rStyle w:val="Refdenotaalpie"/>
          <w:rFonts w:ascii="Arial" w:hAnsi="Arial" w:cs="Arial"/>
        </w:rPr>
        <w:footnoteReference w:id="10"/>
      </w:r>
      <w:r w:rsidR="00C30FF2">
        <w:rPr>
          <w:rFonts w:ascii="Arial" w:hAnsi="Arial" w:cs="Arial"/>
        </w:rPr>
        <w:t xml:space="preserve"> al</w:t>
      </w:r>
      <w:r>
        <w:rPr>
          <w:rFonts w:ascii="Arial" w:hAnsi="Arial" w:cs="Arial"/>
        </w:rPr>
        <w:t xml:space="preserve"> denunciante</w:t>
      </w:r>
      <w:r w:rsidR="00C37EFF">
        <w:rPr>
          <w:rFonts w:ascii="Arial" w:hAnsi="Arial" w:cs="Arial"/>
        </w:rPr>
        <w:t xml:space="preserve"> </w:t>
      </w:r>
      <w:r w:rsidR="00BB6D81">
        <w:rPr>
          <w:rFonts w:ascii="Arial" w:hAnsi="Arial" w:cs="Arial"/>
        </w:rPr>
        <w:t>que dispone</w:t>
      </w:r>
      <w:r w:rsidR="00C37EFF">
        <w:rPr>
          <w:rFonts w:ascii="Arial" w:hAnsi="Arial" w:cs="Arial"/>
        </w:rPr>
        <w:t xml:space="preserve"> el artículo</w:t>
      </w:r>
      <w:r w:rsidR="00C37EFF" w:rsidRPr="00E47597">
        <w:rPr>
          <w:rFonts w:ascii="Arial" w:hAnsi="Arial" w:cs="Arial"/>
        </w:rPr>
        <w:t xml:space="preserve"> 2.4.3.1.3.9 del Decreto 1084 de 2015</w:t>
      </w:r>
      <w:r w:rsidR="00C37EFF">
        <w:rPr>
          <w:rFonts w:ascii="Arial" w:hAnsi="Arial" w:cs="Arial"/>
        </w:rPr>
        <w:t>, el cual</w:t>
      </w:r>
      <w:r>
        <w:rPr>
          <w:rFonts w:ascii="Arial" w:hAnsi="Arial" w:cs="Arial"/>
        </w:rPr>
        <w:t xml:space="preserve"> se hace con cargo </w:t>
      </w:r>
      <w:r w:rsidRPr="00232B2F">
        <w:rPr>
          <w:rFonts w:ascii="Arial" w:hAnsi="Arial" w:cs="Arial"/>
        </w:rPr>
        <w:t>“</w:t>
      </w:r>
      <w:r>
        <w:rPr>
          <w:rFonts w:ascii="Arial" w:hAnsi="Arial" w:cs="Arial"/>
          <w:i/>
          <w:iCs/>
          <w:u w:val="single"/>
        </w:rPr>
        <w:t>a</w:t>
      </w:r>
      <w:r w:rsidRPr="0036674C">
        <w:rPr>
          <w:rFonts w:ascii="Arial" w:hAnsi="Arial" w:cs="Arial"/>
          <w:i/>
          <w:iCs/>
          <w:u w:val="single"/>
        </w:rPr>
        <w:t>l valor efectivamente percibido</w:t>
      </w:r>
      <w:r w:rsidRPr="0036674C">
        <w:rPr>
          <w:rFonts w:ascii="Arial" w:hAnsi="Arial" w:cs="Arial"/>
          <w:i/>
          <w:iCs/>
        </w:rPr>
        <w:t xml:space="preserve"> por el Instituto Colombiano de Bienestar Familia</w:t>
      </w:r>
      <w:r w:rsidRPr="00EE336D">
        <w:rPr>
          <w:rFonts w:ascii="Arial" w:hAnsi="Arial" w:cs="Arial"/>
          <w:i/>
          <w:iCs/>
        </w:rPr>
        <w:t>r</w:t>
      </w:r>
      <w:r w:rsidRPr="00EE336D">
        <w:rPr>
          <w:rFonts w:ascii="Arial" w:hAnsi="Arial" w:cs="Arial"/>
        </w:rPr>
        <w:t>”</w:t>
      </w:r>
      <w:r>
        <w:rPr>
          <w:rFonts w:ascii="Arial" w:hAnsi="Arial" w:cs="Arial"/>
        </w:rPr>
        <w:t xml:space="preserve"> (subraya añadida)</w:t>
      </w:r>
      <w:r w:rsidRPr="00232B2F">
        <w:rPr>
          <w:rStyle w:val="Refdenotaalpie"/>
          <w:rFonts w:ascii="Arial" w:hAnsi="Arial" w:cs="Arial"/>
        </w:rPr>
        <w:footnoteReference w:id="11"/>
      </w:r>
      <w:r w:rsidR="00300675">
        <w:rPr>
          <w:rFonts w:ascii="Arial" w:hAnsi="Arial" w:cs="Arial"/>
        </w:rPr>
        <w:t xml:space="preserve">. </w:t>
      </w:r>
      <w:r w:rsidR="00C37EFF">
        <w:rPr>
          <w:rFonts w:ascii="Arial" w:hAnsi="Arial" w:cs="Arial"/>
        </w:rPr>
        <w:t xml:space="preserve"> </w:t>
      </w:r>
    </w:p>
    <w:p w14:paraId="1DB15948" w14:textId="77777777" w:rsidR="00C37EFF" w:rsidRPr="002B7656" w:rsidRDefault="00C37EFF" w:rsidP="00CF0D7F">
      <w:pPr>
        <w:spacing w:after="0" w:line="240" w:lineRule="auto"/>
        <w:jc w:val="both"/>
        <w:rPr>
          <w:rFonts w:ascii="Arial" w:hAnsi="Arial" w:cs="Arial"/>
        </w:rPr>
      </w:pPr>
    </w:p>
    <w:p w14:paraId="1FD16EF9" w14:textId="42ED0066" w:rsidR="00045011" w:rsidRDefault="00045011" w:rsidP="00CF0D7F">
      <w:pPr>
        <w:spacing w:after="0" w:line="240" w:lineRule="auto"/>
        <w:jc w:val="both"/>
        <w:rPr>
          <w:rFonts w:ascii="Arial" w:hAnsi="Arial" w:cs="Arial"/>
        </w:rPr>
      </w:pPr>
      <w:r w:rsidRPr="00CD1A1F">
        <w:rPr>
          <w:rFonts w:ascii="Arial" w:hAnsi="Arial" w:cs="Arial"/>
        </w:rPr>
        <w:t>En estos casos,</w:t>
      </w:r>
      <w:r w:rsidR="00C37EFF" w:rsidRPr="002B7656">
        <w:rPr>
          <w:rFonts w:ascii="Arial" w:hAnsi="Arial" w:cs="Arial"/>
        </w:rPr>
        <w:t xml:space="preserve"> a pesar de que la enajenación directa del inmueble se efectúe a través de CISA,</w:t>
      </w:r>
      <w:r w:rsidR="00A90F0B" w:rsidRPr="009C2929">
        <w:rPr>
          <w:rFonts w:ascii="Arial" w:hAnsi="Arial" w:cs="Arial"/>
        </w:rPr>
        <w:t xml:space="preserve"> el Instituto </w:t>
      </w:r>
      <w:r w:rsidR="00D41BDA">
        <w:rPr>
          <w:rFonts w:ascii="Arial" w:hAnsi="Arial" w:cs="Arial"/>
        </w:rPr>
        <w:t>debe</w:t>
      </w:r>
      <w:r w:rsidR="00A90F0B" w:rsidRPr="009C2929">
        <w:rPr>
          <w:rFonts w:ascii="Arial" w:hAnsi="Arial" w:cs="Arial"/>
        </w:rPr>
        <w:t xml:space="preserve"> realizar el pago dispuesto en la norma previamente citada, pues</w:t>
      </w:r>
      <w:r w:rsidR="00C37EFF" w:rsidRPr="009C2929">
        <w:rPr>
          <w:rFonts w:ascii="Arial" w:hAnsi="Arial" w:cs="Arial"/>
        </w:rPr>
        <w:t xml:space="preserve"> </w:t>
      </w:r>
      <w:r w:rsidR="00BB6D81" w:rsidRPr="009C2929">
        <w:rPr>
          <w:rFonts w:ascii="Arial" w:hAnsi="Arial" w:cs="Arial"/>
        </w:rPr>
        <w:t xml:space="preserve">en </w:t>
      </w:r>
      <w:r w:rsidR="00BB6D81" w:rsidRPr="009C2929">
        <w:rPr>
          <w:rFonts w:ascii="Arial" w:hAnsi="Arial" w:cs="Arial"/>
        </w:rPr>
        <w:lastRenderedPageBreak/>
        <w:t xml:space="preserve">virtud del </w:t>
      </w:r>
      <w:r w:rsidR="00BB6D81" w:rsidRPr="00CF0D7F">
        <w:rPr>
          <w:rFonts w:ascii="Arial" w:hAnsi="Arial" w:cs="Arial"/>
        </w:rPr>
        <w:t>principio de obligatoriedad de las normas</w:t>
      </w:r>
      <w:r w:rsidR="00BB6D81" w:rsidRPr="002B7656">
        <w:rPr>
          <w:rFonts w:ascii="Arial" w:hAnsi="Arial" w:cs="Arial"/>
        </w:rPr>
        <w:t xml:space="preserve"> que rige el ordenamiento jurídico colombiano</w:t>
      </w:r>
      <w:r w:rsidR="00A90F0B" w:rsidRPr="002B7656">
        <w:rPr>
          <w:rFonts w:ascii="Arial" w:hAnsi="Arial" w:cs="Arial"/>
        </w:rPr>
        <w:t>, “</w:t>
      </w:r>
      <w:r w:rsidR="00A90F0B" w:rsidRPr="00CF0D7F">
        <w:rPr>
          <w:rFonts w:ascii="Arial" w:hAnsi="Arial" w:cs="Arial"/>
          <w:i/>
          <w:iCs/>
          <w:shd w:val="clear" w:color="auto" w:fill="FFFFFF"/>
        </w:rPr>
        <w:t>la norma jurídica, independientemente de su jerarquía, obliga a sus destinatarios y es deber de las autoridades públicas, en el ámbito de las atribuciones que a cada una de ellas corresponda, hacerla efectiva.</w:t>
      </w:r>
      <w:r w:rsidR="00A90F0B" w:rsidRPr="00CD1A1F">
        <w:rPr>
          <w:rFonts w:ascii="Arial" w:hAnsi="Arial" w:cs="Arial"/>
        </w:rPr>
        <w:t>”</w:t>
      </w:r>
      <w:r w:rsidR="00A90F0B">
        <w:rPr>
          <w:rStyle w:val="Refdenotaalpie"/>
          <w:rFonts w:ascii="Arial" w:hAnsi="Arial" w:cs="Arial"/>
        </w:rPr>
        <w:footnoteReference w:id="12"/>
      </w:r>
      <w:r w:rsidR="00BB6D81" w:rsidRPr="00CD1A1F">
        <w:rPr>
          <w:rFonts w:ascii="Arial" w:hAnsi="Arial" w:cs="Arial"/>
        </w:rPr>
        <w:t xml:space="preserve">, </w:t>
      </w:r>
      <w:r w:rsidR="00C37EFF" w:rsidRPr="00CD1A1F">
        <w:rPr>
          <w:rFonts w:ascii="Arial" w:hAnsi="Arial" w:cs="Arial"/>
        </w:rPr>
        <w:t xml:space="preserve">de manera </w:t>
      </w:r>
      <w:r w:rsidR="000D686E" w:rsidRPr="002B7656">
        <w:rPr>
          <w:rFonts w:ascii="Arial" w:hAnsi="Arial" w:cs="Arial"/>
        </w:rPr>
        <w:t xml:space="preserve">que </w:t>
      </w:r>
      <w:r w:rsidR="002B7656">
        <w:rPr>
          <w:rFonts w:ascii="Arial" w:hAnsi="Arial" w:cs="Arial"/>
        </w:rPr>
        <w:t>este</w:t>
      </w:r>
      <w:r w:rsidR="00A90F0B">
        <w:rPr>
          <w:rFonts w:ascii="Arial" w:hAnsi="Arial" w:cs="Arial"/>
        </w:rPr>
        <w:t xml:space="preserve"> </w:t>
      </w:r>
      <w:r w:rsidR="000D686E" w:rsidRPr="00CD1A1F">
        <w:rPr>
          <w:rFonts w:ascii="Arial" w:hAnsi="Arial" w:cs="Arial"/>
        </w:rPr>
        <w:t>se realizará</w:t>
      </w:r>
      <w:r w:rsidR="00300675" w:rsidRPr="00CD1A1F">
        <w:rPr>
          <w:rFonts w:ascii="Arial" w:hAnsi="Arial" w:cs="Arial"/>
        </w:rPr>
        <w:t xml:space="preserve"> con</w:t>
      </w:r>
      <w:r w:rsidR="00A90F0B">
        <w:rPr>
          <w:rFonts w:ascii="Arial" w:hAnsi="Arial" w:cs="Arial"/>
        </w:rPr>
        <w:t xml:space="preserve"> cargo a</w:t>
      </w:r>
      <w:r w:rsidR="00300675" w:rsidRPr="00CD1A1F">
        <w:rPr>
          <w:rFonts w:ascii="Arial" w:hAnsi="Arial" w:cs="Arial"/>
        </w:rPr>
        <w:t xml:space="preserve"> los recursos que reciba el Instituto producto de la venta del bien a través de C</w:t>
      </w:r>
      <w:r w:rsidR="000D686E" w:rsidRPr="002B7656">
        <w:rPr>
          <w:rFonts w:ascii="Arial" w:hAnsi="Arial" w:cs="Arial"/>
        </w:rPr>
        <w:t>entral de Inversiones S.A</w:t>
      </w:r>
      <w:r w:rsidR="00300675" w:rsidRPr="002B7656">
        <w:rPr>
          <w:rFonts w:ascii="Arial" w:hAnsi="Arial" w:cs="Arial"/>
        </w:rPr>
        <w:t>.</w:t>
      </w:r>
      <w:r w:rsidR="00C37EFF" w:rsidRPr="009C2929">
        <w:rPr>
          <w:rFonts w:ascii="Arial" w:hAnsi="Arial" w:cs="Arial"/>
        </w:rPr>
        <w:t xml:space="preserve"> </w:t>
      </w:r>
    </w:p>
    <w:p w14:paraId="706D8576" w14:textId="2B56A587" w:rsidR="00B309EE" w:rsidRPr="00AF1B12" w:rsidRDefault="00B309EE" w:rsidP="00CF0D7F">
      <w:pPr>
        <w:spacing w:after="0" w:line="240" w:lineRule="auto"/>
        <w:jc w:val="both"/>
        <w:rPr>
          <w:rFonts w:ascii="Arial" w:hAnsi="Arial" w:cs="Arial"/>
        </w:rPr>
      </w:pPr>
    </w:p>
    <w:p w14:paraId="36B8D890" w14:textId="2781B6C5" w:rsidR="00E47E36" w:rsidRPr="00560E0B" w:rsidRDefault="007D62A8" w:rsidP="00CF0D7F">
      <w:pPr>
        <w:pStyle w:val="Prrafodelista"/>
        <w:numPr>
          <w:ilvl w:val="1"/>
          <w:numId w:val="3"/>
        </w:numPr>
        <w:spacing w:after="0" w:line="240" w:lineRule="auto"/>
        <w:jc w:val="center"/>
        <w:rPr>
          <w:rFonts w:ascii="Arial" w:hAnsi="Arial" w:cs="Arial"/>
          <w:b/>
          <w:bCs/>
        </w:rPr>
      </w:pPr>
      <w:r w:rsidRPr="00987DB7">
        <w:rPr>
          <w:rFonts w:ascii="Arial" w:hAnsi="Arial" w:cs="Arial"/>
          <w:b/>
          <w:bCs/>
        </w:rPr>
        <w:t>RESPUESTA AL INTERROGANTE</w:t>
      </w:r>
    </w:p>
    <w:p w14:paraId="401D9EAF" w14:textId="319D206E" w:rsidR="003D322A" w:rsidRPr="00CF0D7F" w:rsidRDefault="003D322A" w:rsidP="00CF0D7F">
      <w:pPr>
        <w:pStyle w:val="Prrafodelista"/>
        <w:spacing w:after="0" w:line="240" w:lineRule="auto"/>
        <w:ind w:left="360"/>
        <w:rPr>
          <w:rFonts w:ascii="Arial" w:hAnsi="Arial" w:cs="Arial"/>
          <w:b/>
          <w:bCs/>
        </w:rPr>
      </w:pPr>
    </w:p>
    <w:p w14:paraId="450B545F" w14:textId="6781C24C" w:rsidR="00FF1FAC" w:rsidRDefault="0004784E" w:rsidP="00CF0D7F">
      <w:pPr>
        <w:spacing w:after="0" w:line="240" w:lineRule="auto"/>
        <w:jc w:val="both"/>
        <w:rPr>
          <w:rFonts w:ascii="Arial" w:hAnsi="Arial" w:cs="Arial"/>
        </w:rPr>
      </w:pPr>
      <w:r>
        <w:rPr>
          <w:rFonts w:ascii="Arial" w:hAnsi="Arial" w:cs="Arial"/>
        </w:rPr>
        <w:t>El interrogante planteado en virtud de la solicitud elevada por la Dirección Administrativa se responde en los siguientes términos:</w:t>
      </w:r>
    </w:p>
    <w:p w14:paraId="5A8C8B3C" w14:textId="77777777" w:rsidR="0004784E" w:rsidRDefault="0004784E" w:rsidP="00CF0D7F">
      <w:pPr>
        <w:spacing w:after="0" w:line="240" w:lineRule="auto"/>
        <w:jc w:val="both"/>
        <w:rPr>
          <w:rFonts w:ascii="Arial" w:hAnsi="Arial" w:cs="Arial"/>
        </w:rPr>
      </w:pPr>
    </w:p>
    <w:p w14:paraId="3C927A88" w14:textId="703EE4D5" w:rsidR="0004784E" w:rsidRDefault="00353342" w:rsidP="00CF0D7F">
      <w:pPr>
        <w:spacing w:after="0" w:line="240" w:lineRule="auto"/>
        <w:jc w:val="both"/>
        <w:rPr>
          <w:rFonts w:ascii="Arial" w:hAnsi="Arial" w:cs="Arial"/>
          <w:bCs/>
        </w:rPr>
      </w:pPr>
      <w:r>
        <w:rPr>
          <w:rFonts w:ascii="Arial" w:hAnsi="Arial" w:cs="Arial"/>
        </w:rPr>
        <w:t xml:space="preserve">Por mandato del </w:t>
      </w:r>
      <w:r w:rsidRPr="00522476">
        <w:rPr>
          <w:rFonts w:ascii="Arial" w:hAnsi="Arial" w:cs="Arial"/>
        </w:rPr>
        <w:t>parágrafo 2 del artículo 2.1.2.2.2.13 del Decreto 1077 de 2015 (</w:t>
      </w:r>
      <w:r w:rsidRPr="00F143F1">
        <w:rPr>
          <w:rFonts w:ascii="Arial" w:hAnsi="Arial" w:cs="Arial"/>
        </w:rPr>
        <w:t>modificado por el Decreto 523 de 2021</w:t>
      </w:r>
      <w:r w:rsidRPr="00522476">
        <w:rPr>
          <w:rFonts w:ascii="Arial" w:hAnsi="Arial" w:cs="Arial"/>
        </w:rPr>
        <w:t>)</w:t>
      </w:r>
      <w:r>
        <w:rPr>
          <w:rFonts w:ascii="Arial" w:hAnsi="Arial" w:cs="Arial"/>
        </w:rPr>
        <w:t>, l</w:t>
      </w:r>
      <w:r w:rsidR="003A60E0">
        <w:rPr>
          <w:rFonts w:ascii="Arial" w:hAnsi="Arial" w:cs="Arial"/>
        </w:rPr>
        <w:t xml:space="preserve">as enajenaciones directas de los inmuebles fiscales que refieren </w:t>
      </w:r>
      <w:r w:rsidR="0004784E">
        <w:rPr>
          <w:rFonts w:ascii="Arial" w:hAnsi="Arial" w:cs="Arial"/>
        </w:rPr>
        <w:t>el</w:t>
      </w:r>
      <w:r w:rsidR="003A60E0">
        <w:rPr>
          <w:rFonts w:ascii="Arial" w:hAnsi="Arial" w:cs="Arial"/>
        </w:rPr>
        <w:t xml:space="preserve"> </w:t>
      </w:r>
      <w:r w:rsidR="0004784E" w:rsidRPr="00522476">
        <w:rPr>
          <w:rFonts w:ascii="Arial" w:hAnsi="Arial" w:cs="Arial"/>
        </w:rPr>
        <w:t>parágrafo 1 del artículo 277 de la Ley 1955 de 2019 y el artículo 14 de la Ley 2044 de 2020</w:t>
      </w:r>
      <w:r w:rsidR="003A60E0">
        <w:rPr>
          <w:rFonts w:ascii="Arial" w:hAnsi="Arial" w:cs="Arial"/>
        </w:rPr>
        <w:t>,</w:t>
      </w:r>
      <w:r w:rsidR="00E001A6">
        <w:rPr>
          <w:rFonts w:ascii="Arial" w:hAnsi="Arial" w:cs="Arial"/>
        </w:rPr>
        <w:t xml:space="preserve"> </w:t>
      </w:r>
      <w:r w:rsidRPr="00AF1B12">
        <w:rPr>
          <w:rFonts w:ascii="Arial" w:hAnsi="Arial" w:cs="Arial"/>
          <w:u w:val="single"/>
        </w:rPr>
        <w:t>deben realizarse</w:t>
      </w:r>
      <w:r w:rsidR="0004784E" w:rsidRPr="00AF1B12">
        <w:rPr>
          <w:rFonts w:ascii="Arial" w:hAnsi="Arial" w:cs="Arial"/>
          <w:u w:val="single"/>
        </w:rPr>
        <w:t xml:space="preserve"> a través de CISA </w:t>
      </w:r>
      <w:r w:rsidR="0004784E" w:rsidRPr="00AF1B12">
        <w:rPr>
          <w:rFonts w:ascii="Arial" w:hAnsi="Arial" w:cs="Arial"/>
          <w:bCs/>
          <w:u w:val="single"/>
        </w:rPr>
        <w:t>en los términos previstos en el artí</w:t>
      </w:r>
      <w:r w:rsidR="00E001A6" w:rsidRPr="00AF1B12">
        <w:rPr>
          <w:rFonts w:ascii="Arial" w:hAnsi="Arial" w:cs="Arial"/>
          <w:bCs/>
          <w:u w:val="single"/>
        </w:rPr>
        <w:t>culo 163 de la Ley 1753 de 2015</w:t>
      </w:r>
      <w:r w:rsidRPr="00AF1B12">
        <w:rPr>
          <w:rFonts w:ascii="Arial" w:hAnsi="Arial" w:cs="Arial"/>
          <w:bCs/>
          <w:u w:val="single"/>
        </w:rPr>
        <w:t>.</w:t>
      </w:r>
    </w:p>
    <w:p w14:paraId="78FD004E" w14:textId="77777777" w:rsidR="00BF086D" w:rsidRDefault="00BF086D" w:rsidP="00CF0D7F">
      <w:pPr>
        <w:spacing w:after="0" w:line="240" w:lineRule="auto"/>
        <w:jc w:val="both"/>
        <w:rPr>
          <w:rFonts w:ascii="Arial" w:hAnsi="Arial" w:cs="Arial"/>
        </w:rPr>
      </w:pPr>
    </w:p>
    <w:p w14:paraId="5013C595" w14:textId="0CC1BB59" w:rsidR="003A60E0" w:rsidRDefault="00BF086D" w:rsidP="00CF0D7F">
      <w:pPr>
        <w:spacing w:after="0" w:line="240" w:lineRule="auto"/>
        <w:jc w:val="both"/>
        <w:rPr>
          <w:rFonts w:ascii="Arial" w:hAnsi="Arial" w:cs="Arial"/>
        </w:rPr>
      </w:pPr>
      <w:r>
        <w:rPr>
          <w:rFonts w:ascii="Arial" w:hAnsi="Arial" w:cs="Arial"/>
        </w:rPr>
        <w:t xml:space="preserve">Cuando </w:t>
      </w:r>
      <w:r w:rsidR="0095471F">
        <w:rPr>
          <w:rFonts w:ascii="Arial" w:hAnsi="Arial" w:cs="Arial"/>
        </w:rPr>
        <w:t xml:space="preserve">las </w:t>
      </w:r>
      <w:r w:rsidR="008573CE">
        <w:rPr>
          <w:rFonts w:ascii="Arial" w:hAnsi="Arial" w:cs="Arial"/>
        </w:rPr>
        <w:t>enajenaciones</w:t>
      </w:r>
      <w:r w:rsidR="0095471F">
        <w:rPr>
          <w:rFonts w:ascii="Arial" w:hAnsi="Arial" w:cs="Arial"/>
        </w:rPr>
        <w:t xml:space="preserve"> directas de los inmuebles fiscales ocupados ilegalmente</w:t>
      </w:r>
      <w:r w:rsidR="00E85EF6">
        <w:rPr>
          <w:rFonts w:ascii="Arial" w:hAnsi="Arial" w:cs="Arial"/>
        </w:rPr>
        <w:t xml:space="preserve"> </w:t>
      </w:r>
      <w:r w:rsidR="0095471F">
        <w:rPr>
          <w:rFonts w:ascii="Arial" w:hAnsi="Arial" w:cs="Arial"/>
        </w:rPr>
        <w:t>se relacionen</w:t>
      </w:r>
      <w:r w:rsidR="00353342">
        <w:rPr>
          <w:rFonts w:ascii="Arial" w:hAnsi="Arial" w:cs="Arial"/>
        </w:rPr>
        <w:t xml:space="preserve"> con </w:t>
      </w:r>
      <w:r w:rsidR="00335555">
        <w:rPr>
          <w:rFonts w:ascii="Arial" w:hAnsi="Arial" w:cs="Arial"/>
        </w:rPr>
        <w:t>bienes</w:t>
      </w:r>
      <w:r w:rsidR="008573CE">
        <w:rPr>
          <w:rFonts w:ascii="Arial" w:hAnsi="Arial" w:cs="Arial"/>
        </w:rPr>
        <w:t xml:space="preserve"> </w:t>
      </w:r>
      <w:r w:rsidR="00353342">
        <w:rPr>
          <w:rFonts w:ascii="Arial" w:hAnsi="Arial" w:cs="Arial"/>
        </w:rPr>
        <w:t>adquiridos por el ICBF en virtud de su vocación hereditaria, declaratoria de bienes vacantes o como dación en pago por concepto de parafiscales,</w:t>
      </w:r>
      <w:r>
        <w:rPr>
          <w:rFonts w:ascii="Arial" w:hAnsi="Arial" w:cs="Arial"/>
        </w:rPr>
        <w:t xml:space="preserve"> se </w:t>
      </w:r>
      <w:r w:rsidR="00E026B7">
        <w:rPr>
          <w:rFonts w:ascii="Arial" w:hAnsi="Arial" w:cs="Arial"/>
        </w:rPr>
        <w:t xml:space="preserve">deben </w:t>
      </w:r>
      <w:r>
        <w:rPr>
          <w:rFonts w:ascii="Arial" w:hAnsi="Arial" w:cs="Arial"/>
        </w:rPr>
        <w:t xml:space="preserve">realizar igualmente a través de CISA </w:t>
      </w:r>
      <w:r w:rsidRPr="00CF0D7F">
        <w:rPr>
          <w:rFonts w:ascii="Arial" w:hAnsi="Arial" w:cs="Arial"/>
          <w:bCs/>
        </w:rPr>
        <w:t xml:space="preserve">en los términos previstos </w:t>
      </w:r>
      <w:r w:rsidR="00E026B7">
        <w:rPr>
          <w:rFonts w:ascii="Arial" w:hAnsi="Arial" w:cs="Arial"/>
          <w:bCs/>
        </w:rPr>
        <w:t>en dicho marco jurídico</w:t>
      </w:r>
      <w:r>
        <w:rPr>
          <w:rFonts w:ascii="Arial" w:hAnsi="Arial" w:cs="Arial"/>
        </w:rPr>
        <w:t>,</w:t>
      </w:r>
      <w:r w:rsidR="00353342">
        <w:rPr>
          <w:rFonts w:ascii="Arial" w:hAnsi="Arial" w:cs="Arial"/>
        </w:rPr>
        <w:t xml:space="preserve"> </w:t>
      </w:r>
      <w:r w:rsidR="008573CE">
        <w:rPr>
          <w:rFonts w:ascii="Arial" w:hAnsi="Arial" w:cs="Arial"/>
        </w:rPr>
        <w:t>puesto que</w:t>
      </w:r>
      <w:r w:rsidR="00353342">
        <w:rPr>
          <w:rFonts w:ascii="Arial" w:hAnsi="Arial" w:cs="Arial"/>
        </w:rPr>
        <w:t xml:space="preserve"> el legislador no establece un </w:t>
      </w:r>
      <w:r w:rsidR="003577BD">
        <w:rPr>
          <w:rFonts w:ascii="Arial" w:hAnsi="Arial" w:cs="Arial"/>
        </w:rPr>
        <w:t>marco</w:t>
      </w:r>
      <w:r w:rsidR="00353342">
        <w:rPr>
          <w:rFonts w:ascii="Arial" w:hAnsi="Arial" w:cs="Arial"/>
        </w:rPr>
        <w:t xml:space="preserve"> normativo especial</w:t>
      </w:r>
      <w:r w:rsidR="00E026B7">
        <w:rPr>
          <w:rFonts w:ascii="Arial" w:hAnsi="Arial" w:cs="Arial"/>
        </w:rPr>
        <w:t xml:space="preserve"> en cabeza del Instituto</w:t>
      </w:r>
      <w:r w:rsidR="00353342">
        <w:rPr>
          <w:rFonts w:ascii="Arial" w:hAnsi="Arial" w:cs="Arial"/>
        </w:rPr>
        <w:t xml:space="preserve"> para la destinación y enajenación de </w:t>
      </w:r>
      <w:r w:rsidR="008810E4">
        <w:rPr>
          <w:rFonts w:ascii="Arial" w:hAnsi="Arial" w:cs="Arial"/>
        </w:rPr>
        <w:t>este tipo de bienes</w:t>
      </w:r>
      <w:r w:rsidR="008573CE">
        <w:rPr>
          <w:rFonts w:ascii="Arial" w:hAnsi="Arial" w:cs="Arial"/>
        </w:rPr>
        <w:t>.</w:t>
      </w:r>
    </w:p>
    <w:p w14:paraId="5D4A8EF6" w14:textId="77777777" w:rsidR="00353342" w:rsidRDefault="00353342" w:rsidP="00CF0D7F">
      <w:pPr>
        <w:spacing w:after="0" w:line="240" w:lineRule="auto"/>
        <w:jc w:val="both"/>
        <w:rPr>
          <w:rFonts w:ascii="Arial" w:hAnsi="Arial" w:cs="Arial"/>
        </w:rPr>
      </w:pPr>
    </w:p>
    <w:p w14:paraId="282E746F" w14:textId="2914803E" w:rsidR="002912ED" w:rsidRDefault="00390B3C" w:rsidP="00CF0D7F">
      <w:pPr>
        <w:spacing w:after="0" w:line="240" w:lineRule="auto"/>
        <w:jc w:val="both"/>
        <w:rPr>
          <w:rFonts w:ascii="Arial" w:hAnsi="Arial" w:cs="Arial"/>
        </w:rPr>
      </w:pPr>
      <w:r>
        <w:rPr>
          <w:rFonts w:ascii="Arial" w:hAnsi="Arial" w:cs="Arial"/>
        </w:rPr>
        <w:t>Además</w:t>
      </w:r>
      <w:r w:rsidR="0047378F">
        <w:rPr>
          <w:rFonts w:ascii="Arial" w:hAnsi="Arial" w:cs="Arial"/>
        </w:rPr>
        <w:t>,</w:t>
      </w:r>
      <w:r w:rsidR="008573CE">
        <w:rPr>
          <w:rFonts w:ascii="Arial" w:hAnsi="Arial" w:cs="Arial"/>
        </w:rPr>
        <w:t xml:space="preserve"> </w:t>
      </w:r>
      <w:r w:rsidR="0047378F">
        <w:rPr>
          <w:rFonts w:ascii="Arial" w:hAnsi="Arial" w:cs="Arial"/>
        </w:rPr>
        <w:t xml:space="preserve">cuando los inmuebles destinados a ser enajenados de manera directa a los ocupantes ilegales sean propiedad del Instituto por su vocación hereditaria o declaratoria de bienes vacantes, </w:t>
      </w:r>
      <w:r w:rsidR="00101BC2">
        <w:rPr>
          <w:rFonts w:ascii="Arial" w:hAnsi="Arial" w:cs="Arial"/>
        </w:rPr>
        <w:t>los pagos de las participaciones económicas a las que tienen derecho los denunciantes</w:t>
      </w:r>
      <w:r>
        <w:rPr>
          <w:rFonts w:ascii="Arial" w:hAnsi="Arial" w:cs="Arial"/>
        </w:rPr>
        <w:t>,</w:t>
      </w:r>
      <w:r w:rsidR="00101BC2" w:rsidRPr="00101BC2" w:rsidDel="007D62A8">
        <w:rPr>
          <w:rFonts w:ascii="Arial" w:hAnsi="Arial" w:cs="Arial"/>
          <w:color w:val="FF0000"/>
        </w:rPr>
        <w:t xml:space="preserve"> </w:t>
      </w:r>
      <w:r w:rsidR="00101BC2">
        <w:rPr>
          <w:rFonts w:ascii="Arial" w:hAnsi="Arial" w:cs="Arial"/>
        </w:rPr>
        <w:t xml:space="preserve">se realizarán </w:t>
      </w:r>
      <w:r w:rsidR="00CA298C">
        <w:rPr>
          <w:rFonts w:ascii="Arial" w:hAnsi="Arial" w:cs="Arial"/>
        </w:rPr>
        <w:t>con</w:t>
      </w:r>
      <w:r w:rsidR="00101BC2">
        <w:rPr>
          <w:rFonts w:ascii="Arial" w:hAnsi="Arial" w:cs="Arial"/>
        </w:rPr>
        <w:t xml:space="preserve"> cargo a</w:t>
      </w:r>
      <w:r w:rsidR="00CA298C">
        <w:rPr>
          <w:rFonts w:ascii="Arial" w:hAnsi="Arial" w:cs="Arial"/>
        </w:rPr>
        <w:t xml:space="preserve"> los recursos efectivamente percibidos por el Instituto </w:t>
      </w:r>
      <w:r w:rsidR="0047378F">
        <w:rPr>
          <w:rFonts w:ascii="Arial" w:hAnsi="Arial" w:cs="Arial"/>
        </w:rPr>
        <w:t>producto de</w:t>
      </w:r>
      <w:r w:rsidR="00CA298C">
        <w:rPr>
          <w:rFonts w:ascii="Arial" w:hAnsi="Arial" w:cs="Arial"/>
        </w:rPr>
        <w:t xml:space="preserve"> </w:t>
      </w:r>
      <w:r w:rsidR="0047378F">
        <w:rPr>
          <w:rFonts w:ascii="Arial" w:hAnsi="Arial" w:cs="Arial"/>
        </w:rPr>
        <w:t>la enajenación directa</w:t>
      </w:r>
      <w:r w:rsidR="00101BC2">
        <w:rPr>
          <w:rFonts w:ascii="Arial" w:hAnsi="Arial" w:cs="Arial"/>
        </w:rPr>
        <w:t xml:space="preserve"> del bien</w:t>
      </w:r>
      <w:r w:rsidR="008810E4">
        <w:rPr>
          <w:rFonts w:ascii="Arial" w:hAnsi="Arial" w:cs="Arial"/>
        </w:rPr>
        <w:t xml:space="preserve"> que se efectúe</w:t>
      </w:r>
      <w:r w:rsidR="0047378F">
        <w:rPr>
          <w:rFonts w:ascii="Arial" w:hAnsi="Arial" w:cs="Arial"/>
        </w:rPr>
        <w:t xml:space="preserve"> a través de CISA</w:t>
      </w:r>
      <w:r w:rsidR="006B509C">
        <w:rPr>
          <w:rFonts w:ascii="Arial" w:hAnsi="Arial" w:cs="Arial"/>
        </w:rPr>
        <w:t xml:space="preserve">. </w:t>
      </w:r>
    </w:p>
    <w:p w14:paraId="3A88838A" w14:textId="77777777" w:rsidR="006B509C" w:rsidRPr="00CF0D7F" w:rsidRDefault="006B509C" w:rsidP="00CF0D7F">
      <w:pPr>
        <w:spacing w:after="0" w:line="240" w:lineRule="auto"/>
        <w:jc w:val="both"/>
        <w:rPr>
          <w:rFonts w:ascii="Arial" w:hAnsi="Arial" w:cs="Arial"/>
        </w:rPr>
      </w:pPr>
    </w:p>
    <w:p w14:paraId="0F44E639" w14:textId="77777777" w:rsidR="005A7D85" w:rsidRPr="00D2525D" w:rsidRDefault="005A7D85" w:rsidP="00CF0D7F">
      <w:pPr>
        <w:spacing w:after="0" w:line="240" w:lineRule="auto"/>
        <w:contextualSpacing/>
        <w:mirrorIndents/>
        <w:jc w:val="both"/>
        <w:rPr>
          <w:rFonts w:ascii="Arial" w:eastAsia="Times New Roman" w:hAnsi="Arial" w:cs="Arial"/>
          <w:lang w:val="es-CO" w:eastAsia="es-ES_tradnl" w:bidi="x-none"/>
        </w:rPr>
      </w:pPr>
      <w:r w:rsidRPr="00D2525D">
        <w:rPr>
          <w:rFonts w:ascii="Arial" w:eastAsia="Times New Roman" w:hAnsi="Arial" w:cs="Arial"/>
          <w:lang w:val="es-CO"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05425FDD" w14:textId="77777777" w:rsidR="00C60B26" w:rsidRPr="0021518F" w:rsidRDefault="00C60B26" w:rsidP="00CF0D7F">
      <w:pPr>
        <w:spacing w:after="0" w:line="240" w:lineRule="auto"/>
        <w:jc w:val="both"/>
        <w:rPr>
          <w:rFonts w:ascii="Arial" w:hAnsi="Arial" w:cs="Arial"/>
          <w:sz w:val="16"/>
          <w:szCs w:val="16"/>
        </w:rPr>
      </w:pPr>
    </w:p>
    <w:p w14:paraId="4921A26A" w14:textId="50A2FD0D" w:rsidR="00680E6F" w:rsidRPr="00522476" w:rsidRDefault="00680E6F" w:rsidP="00CF0D7F">
      <w:pPr>
        <w:spacing w:after="0" w:line="240" w:lineRule="auto"/>
        <w:jc w:val="both"/>
        <w:rPr>
          <w:rFonts w:ascii="Arial" w:hAnsi="Arial" w:cs="Arial"/>
        </w:rPr>
      </w:pPr>
      <w:r w:rsidRPr="00522476">
        <w:rPr>
          <w:rFonts w:ascii="Arial" w:hAnsi="Arial" w:cs="Arial"/>
        </w:rPr>
        <w:t>Cordialmente,</w:t>
      </w:r>
    </w:p>
    <w:p w14:paraId="73BE6A1B" w14:textId="77777777" w:rsidR="00987DB7" w:rsidRDefault="00987DB7" w:rsidP="00CF0D7F">
      <w:pPr>
        <w:spacing w:after="0" w:line="240" w:lineRule="auto"/>
        <w:jc w:val="both"/>
        <w:rPr>
          <w:rFonts w:ascii="Arial" w:hAnsi="Arial" w:cs="Arial"/>
        </w:rPr>
      </w:pPr>
    </w:p>
    <w:p w14:paraId="3BFDCE2D" w14:textId="77777777" w:rsidR="00680E6F" w:rsidRDefault="00680E6F" w:rsidP="00CF0D7F">
      <w:pPr>
        <w:spacing w:after="0" w:line="240" w:lineRule="auto"/>
        <w:jc w:val="both"/>
        <w:rPr>
          <w:rFonts w:ascii="Arial" w:hAnsi="Arial" w:cs="Arial"/>
        </w:rPr>
      </w:pPr>
    </w:p>
    <w:p w14:paraId="335B5E2B" w14:textId="77777777" w:rsidR="00E47E36" w:rsidRPr="00596A64" w:rsidRDefault="00E47E36" w:rsidP="00CF0D7F">
      <w:pPr>
        <w:spacing w:after="0" w:line="240" w:lineRule="auto"/>
        <w:jc w:val="both"/>
        <w:rPr>
          <w:rFonts w:ascii="Arial" w:hAnsi="Arial" w:cs="Arial"/>
        </w:rPr>
      </w:pPr>
    </w:p>
    <w:p w14:paraId="3F2E255E" w14:textId="6D12B97F" w:rsidR="00680E6F" w:rsidRPr="00522476" w:rsidRDefault="002C2271" w:rsidP="00CF0D7F">
      <w:pPr>
        <w:spacing w:after="0" w:line="240" w:lineRule="auto"/>
        <w:jc w:val="both"/>
        <w:rPr>
          <w:rFonts w:ascii="Arial" w:hAnsi="Arial" w:cs="Arial"/>
          <w:b/>
        </w:rPr>
      </w:pPr>
      <w:r w:rsidRPr="00522476">
        <w:rPr>
          <w:rFonts w:ascii="Arial" w:hAnsi="Arial" w:cs="Arial"/>
          <w:b/>
        </w:rPr>
        <w:t>ÉDGAR LEONARDO BOJACÁ CASTRO</w:t>
      </w:r>
    </w:p>
    <w:p w14:paraId="38BFD594" w14:textId="120D1588" w:rsidR="00680E6F" w:rsidRDefault="00680E6F" w:rsidP="00CF0D7F">
      <w:pPr>
        <w:spacing w:after="0" w:line="240" w:lineRule="auto"/>
        <w:jc w:val="both"/>
        <w:rPr>
          <w:rFonts w:ascii="Arial" w:hAnsi="Arial" w:cs="Arial"/>
        </w:rPr>
      </w:pPr>
      <w:r w:rsidRPr="00522476">
        <w:rPr>
          <w:rFonts w:ascii="Arial" w:hAnsi="Arial" w:cs="Arial"/>
        </w:rPr>
        <w:t>Jefe Oficina Asesora Jurídica</w:t>
      </w:r>
    </w:p>
    <w:p w14:paraId="2C870314" w14:textId="77777777" w:rsidR="000F4541" w:rsidRPr="00CF0D7F" w:rsidRDefault="000F4541" w:rsidP="00CF0D7F">
      <w:pPr>
        <w:spacing w:after="0" w:line="240" w:lineRule="auto"/>
        <w:jc w:val="both"/>
        <w:rPr>
          <w:rFonts w:ascii="Arial" w:hAnsi="Arial" w:cs="Arial"/>
        </w:rPr>
      </w:pPr>
    </w:p>
    <w:p w14:paraId="22C70309" w14:textId="21389BDD" w:rsidR="00680E6F" w:rsidRPr="00522476" w:rsidRDefault="00680E6F" w:rsidP="00CF0D7F">
      <w:pPr>
        <w:spacing w:after="0" w:line="240" w:lineRule="auto"/>
        <w:ind w:right="191"/>
        <w:jc w:val="both"/>
        <w:rPr>
          <w:rFonts w:ascii="Arial" w:hAnsi="Arial" w:cs="Arial"/>
          <w:sz w:val="16"/>
          <w:szCs w:val="16"/>
        </w:rPr>
      </w:pPr>
    </w:p>
    <w:sectPr w:rsidR="00680E6F" w:rsidRPr="0052247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5C00" w14:textId="77777777" w:rsidR="00C5319E" w:rsidRDefault="00C5319E" w:rsidP="00DD51DD">
      <w:pPr>
        <w:spacing w:after="0" w:line="240" w:lineRule="auto"/>
      </w:pPr>
      <w:r>
        <w:separator/>
      </w:r>
    </w:p>
  </w:endnote>
  <w:endnote w:type="continuationSeparator" w:id="0">
    <w:p w14:paraId="2D7F70E1" w14:textId="77777777" w:rsidR="00C5319E" w:rsidRDefault="00C5319E"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FE2A" w14:textId="68E93C85" w:rsidR="000D686E" w:rsidRDefault="000D686E" w:rsidP="00522476">
    <w:pPr>
      <w:pStyle w:val="Piedepgina"/>
      <w:jc w:val="right"/>
      <w:rPr>
        <w:b/>
      </w:rPr>
    </w:pPr>
    <w:r w:rsidRPr="00522476">
      <w:rPr>
        <w:b/>
        <w:lang w:val="es-ES"/>
      </w:rPr>
      <w:t xml:space="preserve">Página </w:t>
    </w:r>
    <w:r w:rsidRPr="00522476">
      <w:rPr>
        <w:b/>
      </w:rPr>
      <w:fldChar w:fldCharType="begin"/>
    </w:r>
    <w:r w:rsidRPr="00522476">
      <w:rPr>
        <w:b/>
      </w:rPr>
      <w:instrText>PAGE  \* Arabic  \* MERGEFORMAT</w:instrText>
    </w:r>
    <w:r w:rsidRPr="00522476">
      <w:rPr>
        <w:b/>
      </w:rPr>
      <w:fldChar w:fldCharType="separate"/>
    </w:r>
    <w:r w:rsidR="003577BD" w:rsidRPr="003577BD">
      <w:rPr>
        <w:b/>
        <w:noProof/>
        <w:lang w:val="es-ES"/>
      </w:rPr>
      <w:t>6</w:t>
    </w:r>
    <w:r w:rsidRPr="00522476">
      <w:rPr>
        <w:b/>
      </w:rPr>
      <w:fldChar w:fldCharType="end"/>
    </w:r>
    <w:r w:rsidRPr="00522476">
      <w:rPr>
        <w:b/>
        <w:lang w:val="es-ES"/>
      </w:rPr>
      <w:t xml:space="preserve"> de </w:t>
    </w:r>
    <w:r w:rsidRPr="00522476">
      <w:rPr>
        <w:b/>
      </w:rPr>
      <w:fldChar w:fldCharType="begin"/>
    </w:r>
    <w:r w:rsidRPr="00522476">
      <w:rPr>
        <w:b/>
      </w:rPr>
      <w:instrText>NUMPAGES  \* Arabic  \* MERGEFORMAT</w:instrText>
    </w:r>
    <w:r w:rsidRPr="00522476">
      <w:rPr>
        <w:b/>
      </w:rPr>
      <w:fldChar w:fldCharType="separate"/>
    </w:r>
    <w:r w:rsidR="003577BD" w:rsidRPr="003577BD">
      <w:rPr>
        <w:b/>
        <w:noProof/>
        <w:lang w:val="es-ES"/>
      </w:rPr>
      <w:t>7</w:t>
    </w:r>
    <w:r w:rsidRPr="00522476">
      <w:rPr>
        <w:b/>
      </w:rPr>
      <w:fldChar w:fldCharType="end"/>
    </w:r>
  </w:p>
  <w:p w14:paraId="5C431D43" w14:textId="22E75336" w:rsidR="000D686E" w:rsidRPr="00461E2C" w:rsidRDefault="000D686E" w:rsidP="00461E2C">
    <w:pPr>
      <w:pStyle w:val="Piedepgina"/>
      <w:jc w:val="center"/>
      <w:rPr>
        <w:b/>
      </w:rPr>
    </w:pPr>
    <w:r>
      <w:rPr>
        <w:b/>
      </w:rPr>
      <w:t>Comunicación oficial</w:t>
    </w:r>
    <w:r w:rsidRPr="00461E2C">
      <w:rPr>
        <w:b/>
      </w:rPr>
      <w:t xml:space="preserve"> revisada y aprobada por el remitente de </w:t>
    </w:r>
    <w:proofErr w:type="gramStart"/>
    <w:r w:rsidRPr="00461E2C">
      <w:rPr>
        <w:b/>
      </w:rPr>
      <w:t>la misma</w:t>
    </w:r>
    <w:proofErr w:type="gramEnd"/>
    <w:r w:rsidRPr="00461E2C">
      <w:rPr>
        <w:b/>
        <w:noProof/>
        <w:lang w:eastAsia="es-CO"/>
      </w:rPr>
      <w:drawing>
        <wp:anchor distT="0" distB="0" distL="114300" distR="114300" simplePos="0" relativeHeight="251673600" behindDoc="1" locked="0" layoutInCell="1" allowOverlap="1" wp14:anchorId="2E216C7E" wp14:editId="7D26A78F">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6780" cy="1048109"/>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D686E" w:rsidRDefault="000D686E">
    <w:pPr>
      <w:pStyle w:val="Piedepgina"/>
    </w:pPr>
  </w:p>
  <w:p w14:paraId="7CDDA185" w14:textId="61A7097E" w:rsidR="000D686E" w:rsidRDefault="000D686E">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D686E" w:rsidRDefault="000D686E"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D686E" w:rsidRDefault="000D686E"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D686E" w:rsidRDefault="000D686E">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ADF7EA2" w:rsidR="000D686E" w:rsidRPr="00BC0789" w:rsidRDefault="00D40A47"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D686E" w:rsidRPr="00BC0789" w:rsidRDefault="000D686E"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D686E" w:rsidRPr="00BC0789" w:rsidRDefault="000D686E"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D686E" w:rsidRPr="006C7934" w:rsidRDefault="000D686E"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0ADF7EA2" w:rsidR="000D686E" w:rsidRPr="00BC0789" w:rsidRDefault="00D40A47"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D686E" w:rsidRPr="00BC0789" w:rsidRDefault="000D686E"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D686E" w:rsidRPr="00BC0789" w:rsidRDefault="000D686E"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D686E" w:rsidRPr="006C7934" w:rsidRDefault="000D686E"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D686E" w:rsidRPr="005731FA" w:rsidRDefault="000D686E"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D686E" w:rsidRPr="005731FA" w:rsidRDefault="000D686E"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D686E" w:rsidRPr="005731FA" w:rsidRDefault="000D686E"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D686E" w:rsidRPr="005731FA" w:rsidRDefault="000D686E"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96B7" w14:textId="77777777" w:rsidR="00C5319E" w:rsidRDefault="00C5319E" w:rsidP="00DD51DD">
      <w:pPr>
        <w:spacing w:after="0" w:line="240" w:lineRule="auto"/>
      </w:pPr>
      <w:r>
        <w:separator/>
      </w:r>
    </w:p>
  </w:footnote>
  <w:footnote w:type="continuationSeparator" w:id="0">
    <w:p w14:paraId="4DDEFB6E" w14:textId="77777777" w:rsidR="00C5319E" w:rsidRDefault="00C5319E" w:rsidP="00DD51DD">
      <w:pPr>
        <w:spacing w:after="0" w:line="240" w:lineRule="auto"/>
      </w:pPr>
      <w:r>
        <w:continuationSeparator/>
      </w:r>
    </w:p>
  </w:footnote>
  <w:footnote w:id="1">
    <w:p w14:paraId="331CF22B" w14:textId="0932B302" w:rsidR="000D686E" w:rsidRPr="00420B04" w:rsidRDefault="000D686E" w:rsidP="00522476">
      <w:pPr>
        <w:pStyle w:val="Textonotapie"/>
        <w:jc w:val="both"/>
        <w:rPr>
          <w:rFonts w:ascii="Arial" w:hAnsi="Arial" w:cs="Arial"/>
          <w:sz w:val="16"/>
          <w:szCs w:val="16"/>
          <w:lang w:val="es-CO"/>
        </w:rPr>
      </w:pPr>
      <w:r w:rsidRPr="00420B04">
        <w:rPr>
          <w:rStyle w:val="Refdenotaalpie"/>
          <w:rFonts w:ascii="Arial" w:hAnsi="Arial" w:cs="Arial"/>
          <w:b/>
          <w:sz w:val="16"/>
          <w:szCs w:val="16"/>
        </w:rPr>
        <w:footnoteRef/>
      </w:r>
      <w:r w:rsidRPr="00420B04">
        <w:rPr>
          <w:rFonts w:ascii="Arial" w:hAnsi="Arial" w:cs="Arial"/>
          <w:b/>
          <w:sz w:val="16"/>
          <w:szCs w:val="16"/>
        </w:rPr>
        <w:t xml:space="preserve"> Decreto 1077 de 2015. Artículo 2.1.2.2.1.2: </w:t>
      </w:r>
      <w:r w:rsidRPr="00420B04">
        <w:rPr>
          <w:rFonts w:ascii="Arial" w:hAnsi="Arial" w:cs="Arial"/>
          <w:sz w:val="16"/>
          <w:szCs w:val="16"/>
        </w:rPr>
        <w:t>“</w:t>
      </w:r>
      <w:r w:rsidRPr="00420B04">
        <w:rPr>
          <w:rFonts w:ascii="Arial" w:hAnsi="Arial" w:cs="Arial"/>
          <w:b/>
          <w:sz w:val="16"/>
          <w:szCs w:val="16"/>
        </w:rPr>
        <w:t xml:space="preserve">Definiciones </w:t>
      </w:r>
      <w:r w:rsidRPr="00420B04">
        <w:rPr>
          <w:rFonts w:ascii="Arial" w:hAnsi="Arial" w:cs="Arial"/>
          <w:sz w:val="16"/>
          <w:szCs w:val="16"/>
        </w:rPr>
        <w:t xml:space="preserve">[…] </w:t>
      </w:r>
      <w:r w:rsidRPr="00420B04">
        <w:rPr>
          <w:rFonts w:ascii="Arial" w:hAnsi="Arial" w:cs="Arial"/>
          <w:b/>
          <w:sz w:val="16"/>
          <w:szCs w:val="16"/>
        </w:rPr>
        <w:t>9. Enajenación directa.</w:t>
      </w:r>
      <w:r w:rsidRPr="00420B04">
        <w:rPr>
          <w:rFonts w:ascii="Arial" w:hAnsi="Arial" w:cs="Arial"/>
          <w:sz w:val="16"/>
          <w:szCs w:val="16"/>
        </w:rPr>
        <w:t xml:space="preserve"> Corresponde al trámite preferente en favor del ocupante y sin sujeción a las normas de contratación estatal, en las condiciones establecidas en el parágrafo primero del artículo 277 de la Ley 1955 de 2019, y los artículos 9 y 14 de la Ley 2044 de 2020”.  </w:t>
      </w:r>
    </w:p>
  </w:footnote>
  <w:footnote w:id="2">
    <w:p w14:paraId="78833768" w14:textId="11D9FB05" w:rsidR="000D686E" w:rsidRPr="00420B04" w:rsidRDefault="000D686E" w:rsidP="00522476">
      <w:pPr>
        <w:pStyle w:val="Textonotapie"/>
        <w:jc w:val="both"/>
        <w:rPr>
          <w:rFonts w:ascii="Arial" w:hAnsi="Arial" w:cs="Arial"/>
          <w:sz w:val="16"/>
          <w:szCs w:val="16"/>
          <w:lang w:val="es-CO"/>
        </w:rPr>
      </w:pPr>
      <w:r w:rsidRPr="00420B04">
        <w:rPr>
          <w:rStyle w:val="Refdenotaalpie"/>
          <w:rFonts w:ascii="Arial" w:hAnsi="Arial" w:cs="Arial"/>
          <w:sz w:val="16"/>
          <w:szCs w:val="16"/>
        </w:rPr>
        <w:footnoteRef/>
      </w:r>
      <w:r w:rsidRPr="00420B04">
        <w:rPr>
          <w:rFonts w:ascii="Arial" w:hAnsi="Arial" w:cs="Arial"/>
          <w:sz w:val="16"/>
          <w:szCs w:val="16"/>
        </w:rPr>
        <w:t xml:space="preserve"> “Modifíquese el artículo 14 de la Ley 708 de 2001, el cual quedará así: […] </w:t>
      </w:r>
      <w:r w:rsidRPr="00420B04">
        <w:rPr>
          <w:rFonts w:ascii="Arial" w:hAnsi="Arial" w:cs="Arial"/>
          <w:b/>
          <w:sz w:val="16"/>
          <w:szCs w:val="16"/>
        </w:rPr>
        <w:t xml:space="preserve">Parágrafo </w:t>
      </w:r>
      <w:proofErr w:type="gramStart"/>
      <w:r w:rsidRPr="00420B04">
        <w:rPr>
          <w:rFonts w:ascii="Arial" w:hAnsi="Arial" w:cs="Arial"/>
          <w:b/>
          <w:sz w:val="16"/>
          <w:szCs w:val="16"/>
        </w:rPr>
        <w:t>1.°</w:t>
      </w:r>
      <w:proofErr w:type="gramEnd"/>
      <w:r w:rsidRPr="00420B04">
        <w:rPr>
          <w:rFonts w:ascii="Arial" w:hAnsi="Arial" w:cs="Arial"/>
          <w:b/>
          <w:sz w:val="16"/>
          <w:szCs w:val="16"/>
        </w:rPr>
        <w:t xml:space="preserve">: </w:t>
      </w:r>
      <w:r w:rsidRPr="00420B04">
        <w:rPr>
          <w:rFonts w:ascii="Arial" w:hAnsi="Arial" w:cs="Arial"/>
          <w:sz w:val="16"/>
          <w:szCs w:val="16"/>
        </w:rPr>
        <w:t>Para bienes inmuebles fiscales ocupados ilegalmente con mejoras que no cuenten con destinación económica habitacional, procederá la enajenación directa del predio fiscal por su valor catastral vigente a la fecha de la oferta. El Gobierno nacional reglamentará la materia”.</w:t>
      </w:r>
    </w:p>
  </w:footnote>
  <w:footnote w:id="3">
    <w:p w14:paraId="623D5288" w14:textId="426B9162" w:rsidR="000D686E" w:rsidRPr="00420B04" w:rsidRDefault="000D686E" w:rsidP="00522476">
      <w:pPr>
        <w:pStyle w:val="Textonotapie"/>
        <w:jc w:val="both"/>
        <w:rPr>
          <w:rFonts w:ascii="Arial" w:hAnsi="Arial" w:cs="Arial"/>
          <w:sz w:val="16"/>
          <w:szCs w:val="16"/>
          <w:lang w:val="es-CO"/>
        </w:rPr>
      </w:pPr>
      <w:r w:rsidRPr="00420B04">
        <w:rPr>
          <w:rStyle w:val="Refdenotaalpie"/>
          <w:rFonts w:ascii="Arial" w:hAnsi="Arial" w:cs="Arial"/>
          <w:sz w:val="16"/>
          <w:szCs w:val="16"/>
        </w:rPr>
        <w:footnoteRef/>
      </w:r>
      <w:r w:rsidRPr="00420B04">
        <w:rPr>
          <w:rFonts w:ascii="Arial" w:hAnsi="Arial" w:cs="Arial"/>
          <w:sz w:val="16"/>
          <w:szCs w:val="16"/>
        </w:rPr>
        <w:t xml:space="preserve"> </w:t>
      </w:r>
      <w:r w:rsidRPr="00420B04">
        <w:rPr>
          <w:rFonts w:ascii="Arial" w:hAnsi="Arial" w:cs="Arial"/>
          <w:sz w:val="16"/>
          <w:szCs w:val="16"/>
          <w:lang w:val="es-CO"/>
        </w:rPr>
        <w:t xml:space="preserve">“Modifíquese el artículo </w:t>
      </w:r>
      <w:proofErr w:type="gramStart"/>
      <w:r w:rsidRPr="00420B04">
        <w:rPr>
          <w:rFonts w:ascii="Arial" w:hAnsi="Arial" w:cs="Arial"/>
          <w:sz w:val="16"/>
          <w:szCs w:val="16"/>
          <w:lang w:val="es-CO"/>
        </w:rPr>
        <w:t>3.°</w:t>
      </w:r>
      <w:proofErr w:type="gramEnd"/>
      <w:r w:rsidRPr="00420B04">
        <w:rPr>
          <w:rFonts w:ascii="Arial" w:hAnsi="Arial" w:cs="Arial"/>
          <w:sz w:val="16"/>
          <w:szCs w:val="16"/>
          <w:lang w:val="es-CO"/>
        </w:rPr>
        <w:t xml:space="preserve"> de la Ley 1001 de 2005, el cual quedara así: Artículo 3.°: Enajenación Directa de Bienes Fiscales. Las entidades públicas podrán enajenar directamente los bienes inmuebles fiscales de su propiedad en primer lugar al ocupante sin sujeción a las normas de contratación estatal, cuando el inmueble y/o el hogar interesado en la cesión no cumpla con los criterios previstos en el artículo 14 de la Ley 708 de 2001 modificado por el artículo 277 de la Ley 1955 de 2019 y las normas que lo modifiquen, complementen, adicionen o reglamentan. // La enajenación directa del bien fiscal se formalizará mediante la expedición de una resolución administrativa en la cual se constituirá patrimonio de familia inembargable, la cual, una vez inscrita en la correspondiente Oficina de Registro de Instrumentos Públicos, constituirá plena prueba de propiedad. // </w:t>
      </w:r>
      <w:r w:rsidRPr="00420B04">
        <w:rPr>
          <w:rFonts w:ascii="Arial" w:hAnsi="Arial" w:cs="Arial"/>
          <w:b/>
          <w:sz w:val="16"/>
          <w:szCs w:val="16"/>
          <w:lang w:val="es-CO"/>
        </w:rPr>
        <w:t>Parágrafo 1.°:</w:t>
      </w:r>
      <w:r w:rsidRPr="00420B04">
        <w:rPr>
          <w:rFonts w:ascii="Arial" w:hAnsi="Arial" w:cs="Arial"/>
          <w:sz w:val="16"/>
          <w:szCs w:val="16"/>
          <w:lang w:val="es-CO"/>
        </w:rPr>
        <w:t xml:space="preserve"> En ningún caso procederá la enajenación directa tratándose de inmuebles ubicados en zonas destinadas a obras pública o de infraestructuras básicas, áreas no aptas para la localización de viviendas, zonas de alto riesgo no mitigable, zonas de protección de los recursos naturales y zonas insalubres conforme con el Plan de Ordenamiento Territorial, Esquema de Ordenamiento Territorial o Plan Básico de Ordenamiento Territorial y los instrumentos que los desarrollen o complementen y demás que disponga el artículo 35 de la Ley 388 de 1997 y las normas que lo modifiquen, adicionen o complementen, expedido por la autoridad competente. // </w:t>
      </w:r>
      <w:r w:rsidRPr="00420B04">
        <w:rPr>
          <w:rFonts w:ascii="Arial" w:hAnsi="Arial" w:cs="Arial"/>
          <w:b/>
          <w:sz w:val="16"/>
          <w:szCs w:val="16"/>
          <w:lang w:val="es-CO"/>
        </w:rPr>
        <w:t xml:space="preserve">Parágrafo </w:t>
      </w:r>
      <w:proofErr w:type="gramStart"/>
      <w:r w:rsidRPr="00420B04">
        <w:rPr>
          <w:rFonts w:ascii="Arial" w:hAnsi="Arial" w:cs="Arial"/>
          <w:b/>
          <w:sz w:val="16"/>
          <w:szCs w:val="16"/>
          <w:lang w:val="es-CO"/>
        </w:rPr>
        <w:t>2.°</w:t>
      </w:r>
      <w:proofErr w:type="gramEnd"/>
      <w:r w:rsidRPr="00420B04">
        <w:rPr>
          <w:rFonts w:ascii="Arial" w:hAnsi="Arial" w:cs="Arial"/>
          <w:b/>
          <w:sz w:val="16"/>
          <w:szCs w:val="16"/>
          <w:lang w:val="es-CO"/>
        </w:rPr>
        <w:t>:</w:t>
      </w:r>
      <w:r w:rsidRPr="00420B04">
        <w:rPr>
          <w:rFonts w:ascii="Arial" w:hAnsi="Arial" w:cs="Arial"/>
          <w:sz w:val="16"/>
          <w:szCs w:val="16"/>
          <w:lang w:val="es-CO"/>
        </w:rPr>
        <w:t xml:space="preserve"> En el evento que no se acepte la enajenación del inmueble, se procederá a solicitar su restitución mediante una acción reivindicatoria conforme a la Ley y su traslado a CISA. // </w:t>
      </w:r>
      <w:r w:rsidRPr="00420B04">
        <w:rPr>
          <w:rFonts w:ascii="Arial" w:hAnsi="Arial" w:cs="Arial"/>
          <w:b/>
          <w:sz w:val="16"/>
          <w:szCs w:val="16"/>
          <w:lang w:val="es-CO"/>
        </w:rPr>
        <w:t xml:space="preserve">Parágrafo </w:t>
      </w:r>
      <w:proofErr w:type="gramStart"/>
      <w:r w:rsidRPr="00420B04">
        <w:rPr>
          <w:rFonts w:ascii="Arial" w:hAnsi="Arial" w:cs="Arial"/>
          <w:b/>
          <w:sz w:val="16"/>
          <w:szCs w:val="16"/>
          <w:lang w:val="es-CO"/>
        </w:rPr>
        <w:t>3.°</w:t>
      </w:r>
      <w:proofErr w:type="gramEnd"/>
      <w:r w:rsidRPr="00420B04">
        <w:rPr>
          <w:rFonts w:ascii="Arial" w:hAnsi="Arial" w:cs="Arial"/>
          <w:b/>
          <w:sz w:val="16"/>
          <w:szCs w:val="16"/>
          <w:lang w:val="es-CO"/>
        </w:rPr>
        <w:t>:</w:t>
      </w:r>
      <w:r w:rsidRPr="00420B04">
        <w:rPr>
          <w:rFonts w:ascii="Arial" w:hAnsi="Arial" w:cs="Arial"/>
          <w:sz w:val="16"/>
          <w:szCs w:val="16"/>
          <w:lang w:val="es-CO"/>
        </w:rPr>
        <w:t xml:space="preserve"> La enajenación de que trata el presente artículo procederá siempre y cuando el beneficiario asuma y acredite el cumplimiento de las obligaciones fiscales diferentes a las derivadas del uso habitacional de inmueble. // </w:t>
      </w:r>
      <w:r w:rsidRPr="00420B04">
        <w:rPr>
          <w:rFonts w:ascii="Arial" w:hAnsi="Arial" w:cs="Arial"/>
          <w:b/>
          <w:sz w:val="16"/>
          <w:szCs w:val="16"/>
          <w:lang w:val="es-CO"/>
        </w:rPr>
        <w:t xml:space="preserve">Parágrafo </w:t>
      </w:r>
      <w:proofErr w:type="gramStart"/>
      <w:r w:rsidRPr="00420B04">
        <w:rPr>
          <w:rFonts w:ascii="Arial" w:hAnsi="Arial" w:cs="Arial"/>
          <w:b/>
          <w:sz w:val="16"/>
          <w:szCs w:val="16"/>
          <w:lang w:val="es-CO"/>
        </w:rPr>
        <w:t>4.°</w:t>
      </w:r>
      <w:proofErr w:type="gramEnd"/>
      <w:r w:rsidRPr="00420B04">
        <w:rPr>
          <w:rFonts w:ascii="Arial" w:hAnsi="Arial" w:cs="Arial"/>
          <w:b/>
          <w:sz w:val="16"/>
          <w:szCs w:val="16"/>
          <w:lang w:val="es-CO"/>
        </w:rPr>
        <w:t>:</w:t>
      </w:r>
      <w:r w:rsidRPr="00420B04">
        <w:rPr>
          <w:rFonts w:ascii="Arial" w:hAnsi="Arial" w:cs="Arial"/>
          <w:sz w:val="16"/>
          <w:szCs w:val="16"/>
          <w:lang w:val="es-CO"/>
        </w:rPr>
        <w:t xml:space="preserve"> Para los procesos de enajenación de bienes fiscales, no aplicarán las restricciones de transferencia de derecho real o aquellas que exigen la residencia transcurridos diez (10) años desde la fecha de la transferencia, establecidas en el artículo 21 de la Ley 1537 de 2012 y las normas que lo modifiquen adicionen o complemente”.</w:t>
      </w:r>
    </w:p>
  </w:footnote>
  <w:footnote w:id="4">
    <w:p w14:paraId="7EA032DA" w14:textId="1A887B9B" w:rsidR="000D686E" w:rsidRPr="004450DA" w:rsidRDefault="000D686E">
      <w:pPr>
        <w:pStyle w:val="Textonotapie"/>
        <w:rPr>
          <w:lang w:val="es-MX"/>
        </w:rPr>
      </w:pPr>
      <w:r>
        <w:rPr>
          <w:rStyle w:val="Refdenotaalpie"/>
        </w:rPr>
        <w:footnoteRef/>
      </w:r>
      <w:r>
        <w:t xml:space="preserve"> </w:t>
      </w:r>
      <w:r w:rsidRPr="00B77CF5">
        <w:rPr>
          <w:rFonts w:ascii="Arial" w:hAnsi="Arial" w:cs="Arial"/>
          <w:sz w:val="16"/>
          <w:szCs w:val="16"/>
          <w:lang w:val="es-MX"/>
        </w:rPr>
        <w:t>Co</w:t>
      </w:r>
      <w:r>
        <w:rPr>
          <w:rFonts w:ascii="Arial" w:hAnsi="Arial" w:cs="Arial"/>
          <w:sz w:val="16"/>
          <w:szCs w:val="16"/>
          <w:lang w:val="es-MX"/>
        </w:rPr>
        <w:t>nsejo de Estado</w:t>
      </w:r>
      <w:r w:rsidRPr="00B77CF5">
        <w:rPr>
          <w:rFonts w:ascii="Arial" w:hAnsi="Arial" w:cs="Arial"/>
          <w:sz w:val="16"/>
          <w:szCs w:val="16"/>
          <w:lang w:val="es-MX"/>
        </w:rPr>
        <w:t>.</w:t>
      </w:r>
      <w:r>
        <w:rPr>
          <w:rFonts w:ascii="Arial" w:hAnsi="Arial" w:cs="Arial"/>
          <w:sz w:val="16"/>
          <w:szCs w:val="16"/>
          <w:lang w:val="es-MX"/>
        </w:rPr>
        <w:t xml:space="preserve"> Sala de lo Contencioso Administrativo. Sección Tercera (Subsección B). Consejera Ponente: Ruth Stella Correa Palacio. Radicación No. </w:t>
      </w:r>
      <w:r w:rsidRPr="004450DA">
        <w:rPr>
          <w:rFonts w:ascii="Arial" w:hAnsi="Arial" w:cs="Arial"/>
          <w:sz w:val="16"/>
          <w:szCs w:val="16"/>
          <w:shd w:val="clear" w:color="auto" w:fill="FFFFFF"/>
        </w:rPr>
        <w:t>2500232600019950070401 (21.699)</w:t>
      </w:r>
      <w:r>
        <w:rPr>
          <w:rFonts w:ascii="Arial" w:hAnsi="Arial" w:cs="Arial"/>
          <w:sz w:val="16"/>
          <w:szCs w:val="16"/>
          <w:lang w:val="es-MX"/>
        </w:rPr>
        <w:t xml:space="preserve">. </w:t>
      </w:r>
    </w:p>
  </w:footnote>
  <w:footnote w:id="5">
    <w:p w14:paraId="17B8FD3C" w14:textId="5D27A990" w:rsidR="000D686E" w:rsidRPr="00CF0D7F" w:rsidRDefault="000D686E" w:rsidP="00CF0D7F">
      <w:pPr>
        <w:pStyle w:val="NormalWeb"/>
        <w:spacing w:before="0" w:beforeAutospacing="0" w:after="0" w:afterAutospacing="0"/>
        <w:jc w:val="both"/>
        <w:rPr>
          <w:lang w:val="es-MX"/>
        </w:rPr>
      </w:pPr>
      <w:r w:rsidRPr="00CF0D7F">
        <w:rPr>
          <w:rStyle w:val="Refdenotaalpie"/>
          <w:rFonts w:ascii="Arial" w:hAnsi="Arial" w:cs="Arial"/>
          <w:sz w:val="16"/>
          <w:szCs w:val="16"/>
        </w:rPr>
        <w:footnoteRef/>
      </w:r>
      <w:r w:rsidRPr="00CF0D7F">
        <w:rPr>
          <w:rFonts w:ascii="Arial" w:hAnsi="Arial" w:cs="Arial"/>
          <w:sz w:val="16"/>
          <w:szCs w:val="16"/>
        </w:rPr>
        <w:t xml:space="preserve"> </w:t>
      </w:r>
      <w:bookmarkStart w:id="0" w:name="163"/>
      <w:r w:rsidRPr="00CF0D7F">
        <w:rPr>
          <w:rFonts w:ascii="Arial" w:hAnsi="Arial" w:cs="Arial"/>
          <w:b/>
          <w:bCs/>
          <w:sz w:val="16"/>
          <w:szCs w:val="16"/>
        </w:rPr>
        <w:t>ARTÍCULO 163. MOVILIZACIÓN DE ACTIVOS.</w:t>
      </w:r>
      <w:bookmarkEnd w:id="0"/>
      <w:r w:rsidRPr="00CF0D7F">
        <w:rPr>
          <w:rFonts w:ascii="Arial" w:hAnsi="Arial" w:cs="Arial"/>
          <w:sz w:val="16"/>
          <w:szCs w:val="16"/>
        </w:rPr>
        <w:t> Modifíquese el artículo </w:t>
      </w:r>
      <w:hyperlink r:id="rId1" w:anchor="238" w:history="1">
        <w:r w:rsidRPr="00CF0D7F">
          <w:rPr>
            <w:rStyle w:val="Hipervnculo"/>
            <w:rFonts w:ascii="Arial" w:hAnsi="Arial" w:cs="Arial"/>
            <w:color w:val="auto"/>
            <w:sz w:val="16"/>
            <w:szCs w:val="16"/>
          </w:rPr>
          <w:t>238</w:t>
        </w:r>
      </w:hyperlink>
      <w:r w:rsidRPr="00CF0D7F">
        <w:rPr>
          <w:rFonts w:ascii="Arial" w:hAnsi="Arial" w:cs="Arial"/>
          <w:sz w:val="16"/>
          <w:szCs w:val="16"/>
        </w:rPr>
        <w:t> de la Ley 1450 de 2011, el cual quedará así:</w:t>
      </w:r>
      <w:r>
        <w:rPr>
          <w:rFonts w:ascii="Arial" w:hAnsi="Arial" w:cs="Arial"/>
          <w:sz w:val="16"/>
          <w:szCs w:val="16"/>
        </w:rPr>
        <w:t xml:space="preserve"> </w:t>
      </w:r>
      <w:r w:rsidRPr="00CF0D7F">
        <w:rPr>
          <w:rFonts w:ascii="Arial" w:hAnsi="Arial" w:cs="Arial"/>
          <w:sz w:val="16"/>
          <w:szCs w:val="16"/>
        </w:rPr>
        <w:t>“</w:t>
      </w:r>
      <w:r w:rsidRPr="00CF0D7F">
        <w:rPr>
          <w:rFonts w:ascii="Arial" w:hAnsi="Arial" w:cs="Arial"/>
          <w:b/>
          <w:bCs/>
          <w:sz w:val="16"/>
          <w:szCs w:val="16"/>
        </w:rPr>
        <w:t>Artículo 238. </w:t>
      </w:r>
      <w:r w:rsidRPr="00CF0D7F">
        <w:rPr>
          <w:rStyle w:val="iaj"/>
          <w:rFonts w:ascii="Arial" w:hAnsi="Arial" w:cs="Arial"/>
          <w:b/>
          <w:bCs/>
          <w:i/>
          <w:iCs/>
          <w:sz w:val="16"/>
          <w:szCs w:val="16"/>
        </w:rPr>
        <w:t>Movilización de activos</w:t>
      </w:r>
      <w:r w:rsidRPr="00CF0D7F">
        <w:rPr>
          <w:rFonts w:ascii="Arial" w:hAnsi="Arial" w:cs="Arial"/>
          <w:sz w:val="16"/>
          <w:szCs w:val="16"/>
        </w:rPr>
        <w:t>. A partir de la expedición de la presente ley, las entidades públicas del orden nacional con excepción de las entidades financieras de carácter estatal, las Empresas Industriales y Comerciales del Estado, las Sociedades de Economía Mixta y las entidades en liquidación, deberán vender los inmuebles que no requieran para el ejercicio de sus funciones y la cartera con más de ciento ochenta (180) días de vencida, al colector de activos de la Nación, Central de Inversiones (CISA), para que este las gestione.</w:t>
      </w:r>
      <w:r>
        <w:rPr>
          <w:rFonts w:ascii="Arial" w:hAnsi="Arial" w:cs="Arial"/>
          <w:sz w:val="16"/>
          <w:szCs w:val="16"/>
        </w:rPr>
        <w:t xml:space="preserve"> </w:t>
      </w:r>
      <w:r w:rsidRPr="00CF0D7F">
        <w:rPr>
          <w:rFonts w:ascii="Arial" w:hAnsi="Arial" w:cs="Arial"/>
          <w:sz w:val="16"/>
          <w:szCs w:val="16"/>
        </w:rPr>
        <w:t>La cartera de naturaleza coactiva y la que no esté vencida, podrá ser entregada en administración a CISA.</w:t>
      </w:r>
      <w:r>
        <w:rPr>
          <w:rFonts w:ascii="Arial" w:hAnsi="Arial" w:cs="Arial"/>
          <w:sz w:val="16"/>
          <w:szCs w:val="16"/>
        </w:rPr>
        <w:t xml:space="preserve"> </w:t>
      </w:r>
      <w:r w:rsidRPr="00CF0D7F">
        <w:rPr>
          <w:rFonts w:ascii="Arial" w:hAnsi="Arial" w:cs="Arial"/>
          <w:sz w:val="16"/>
          <w:szCs w:val="16"/>
        </w:rPr>
        <w:t>El registro de la transferencia de los inmuebles entre las entidades públicas y CISA, estará exento de los gastos asociados a dicho acto.</w:t>
      </w:r>
      <w:r>
        <w:rPr>
          <w:rFonts w:ascii="Arial" w:hAnsi="Arial" w:cs="Arial"/>
          <w:sz w:val="16"/>
          <w:szCs w:val="16"/>
        </w:rPr>
        <w:t xml:space="preserve"> // </w:t>
      </w:r>
      <w:r w:rsidRPr="00CF0D7F">
        <w:rPr>
          <w:rStyle w:val="baj"/>
          <w:rFonts w:ascii="Arial" w:hAnsi="Arial" w:cs="Arial"/>
          <w:b/>
          <w:bCs/>
          <w:sz w:val="16"/>
          <w:szCs w:val="16"/>
        </w:rPr>
        <w:t>PARÁGRAFO 1o.</w:t>
      </w:r>
      <w:r w:rsidRPr="00CF0D7F">
        <w:rPr>
          <w:rFonts w:ascii="Arial" w:hAnsi="Arial" w:cs="Arial"/>
          <w:sz w:val="16"/>
          <w:szCs w:val="16"/>
        </w:rPr>
        <w:t> Se exceptúa a las entidades públicas de la obligación de vender su cartera a Central de Inversiones (CISA) cuando se haya iniciado el cobro coactivo. Se entenderá que ha iniciado el cobro coactivo cuando se haya librado mandamiento de pago. Se exceptúa igualmente la cartera proveniente de las operaciones de crédito público celebradas por la Nación, Ministerio de Hacienda y Crédito Público y de la Unidad Administrativa Especial de Impuestos y Aduanas Nacionales.</w:t>
      </w:r>
      <w:r>
        <w:rPr>
          <w:rFonts w:ascii="Arial" w:hAnsi="Arial" w:cs="Arial"/>
          <w:sz w:val="16"/>
          <w:szCs w:val="16"/>
        </w:rPr>
        <w:t xml:space="preserve"> // </w:t>
      </w:r>
      <w:r w:rsidRPr="00CF0D7F">
        <w:rPr>
          <w:rStyle w:val="baj"/>
          <w:rFonts w:ascii="Arial" w:hAnsi="Arial" w:cs="Arial"/>
          <w:b/>
          <w:bCs/>
          <w:sz w:val="16"/>
          <w:szCs w:val="16"/>
        </w:rPr>
        <w:t>PARÁGRAFO 2o.</w:t>
      </w:r>
      <w:r w:rsidRPr="00CF0D7F">
        <w:rPr>
          <w:rFonts w:ascii="Arial" w:hAnsi="Arial" w:cs="Arial"/>
          <w:sz w:val="16"/>
          <w:szCs w:val="16"/>
        </w:rPr>
        <w:t> La forma, los plazos para el traslado de los recursos que genere la gestión de los activos a que se refiere el presente artículo, las condiciones para determinar los casos en que un activo no es requerido por una entidad para el ejercicio de sus funciones, el valor de las comisiones para la administración y/o comercialización serán reglamentados por el Gobierno nacional.</w:t>
      </w:r>
      <w:r>
        <w:rPr>
          <w:rFonts w:ascii="Arial" w:hAnsi="Arial" w:cs="Arial"/>
          <w:sz w:val="16"/>
          <w:szCs w:val="16"/>
        </w:rPr>
        <w:t xml:space="preserve"> // </w:t>
      </w:r>
      <w:r w:rsidRPr="00CF0D7F">
        <w:rPr>
          <w:rStyle w:val="baj"/>
          <w:rFonts w:ascii="Arial" w:hAnsi="Arial" w:cs="Arial"/>
          <w:b/>
          <w:bCs/>
          <w:sz w:val="16"/>
          <w:szCs w:val="16"/>
        </w:rPr>
        <w:t>PARÁGRAFO 3o.</w:t>
      </w:r>
      <w:r w:rsidRPr="00CF0D7F">
        <w:rPr>
          <w:rFonts w:ascii="Arial" w:hAnsi="Arial" w:cs="Arial"/>
          <w:sz w:val="16"/>
          <w:szCs w:val="16"/>
        </w:rPr>
        <w:t> Los negocios que se celebren con Central de Inversiones (CISA) se realizarán mediante contrato administrativo y bajo las condiciones que fije el modelo de valoración definido por el Gobierno nacional para CISA.</w:t>
      </w:r>
      <w:r>
        <w:rPr>
          <w:rFonts w:ascii="Arial" w:hAnsi="Arial" w:cs="Arial"/>
          <w:sz w:val="16"/>
          <w:szCs w:val="16"/>
        </w:rPr>
        <w:t xml:space="preserve"> // </w:t>
      </w:r>
      <w:r w:rsidRPr="00CF0D7F">
        <w:rPr>
          <w:rStyle w:val="baj"/>
          <w:rFonts w:ascii="Arial" w:hAnsi="Arial" w:cs="Arial"/>
          <w:b/>
          <w:bCs/>
          <w:sz w:val="16"/>
          <w:szCs w:val="16"/>
        </w:rPr>
        <w:t>PARÁGRAFO 4o.</w:t>
      </w:r>
      <w:r w:rsidRPr="00CF0D7F">
        <w:rPr>
          <w:rFonts w:ascii="Arial" w:hAnsi="Arial" w:cs="Arial"/>
          <w:sz w:val="16"/>
          <w:szCs w:val="16"/>
        </w:rPr>
        <w:t> En los eventos en que la cartera sea de imposible recaudo por la prescripción o caducidad de la acción, por la pérdida de fuerza ejecutoria del acto administrativo que le dio origen o por la inexistencia probada del deudor o su insolvencia demostrada y por tanto no sea posible ejercer los derechos de cobro o bien porque la relación costo-beneficio al realizar su cobro no resulta eficiente; las entidades públicas ya señaladas, podrán realizar la depuración definitiva de estos saldos contables, realizando un informe detallado de las causales por las cuales se depura y las excluirá de la gestión, el Gobierno nacional reglamentará la materia.</w:t>
      </w:r>
      <w:r>
        <w:rPr>
          <w:rFonts w:ascii="Arial" w:hAnsi="Arial" w:cs="Arial"/>
          <w:sz w:val="16"/>
          <w:szCs w:val="16"/>
        </w:rPr>
        <w:t xml:space="preserve"> // </w:t>
      </w:r>
      <w:r w:rsidRPr="00CF0D7F">
        <w:rPr>
          <w:rStyle w:val="baj"/>
          <w:rFonts w:ascii="Arial" w:hAnsi="Arial" w:cs="Arial"/>
          <w:b/>
          <w:bCs/>
          <w:sz w:val="16"/>
          <w:szCs w:val="16"/>
        </w:rPr>
        <w:t>PARÁGRAFO 5o.</w:t>
      </w:r>
      <w:r w:rsidRPr="00CF0D7F">
        <w:rPr>
          <w:rFonts w:ascii="Arial" w:hAnsi="Arial" w:cs="Arial"/>
          <w:sz w:val="16"/>
          <w:szCs w:val="16"/>
        </w:rPr>
        <w:t> Los inmuebles que se hubieran transferido por parte de las Entidades Públicas a Central de Inversiones (ISA) en virtud del artículo </w:t>
      </w:r>
      <w:hyperlink r:id="rId2" w:anchor="238" w:history="1">
        <w:r w:rsidRPr="00CF0D7F">
          <w:rPr>
            <w:rStyle w:val="Hipervnculo"/>
            <w:rFonts w:ascii="Arial" w:hAnsi="Arial" w:cs="Arial"/>
            <w:color w:val="auto"/>
            <w:sz w:val="16"/>
            <w:szCs w:val="16"/>
          </w:rPr>
          <w:t>238</w:t>
        </w:r>
      </w:hyperlink>
      <w:r w:rsidRPr="00CF0D7F">
        <w:rPr>
          <w:rFonts w:ascii="Arial" w:hAnsi="Arial" w:cs="Arial"/>
          <w:sz w:val="16"/>
          <w:szCs w:val="16"/>
        </w:rPr>
        <w:t> de la Ley 1450 de 2011 y del artículo </w:t>
      </w:r>
      <w:hyperlink r:id="rId3" w:anchor="26" w:history="1">
        <w:r w:rsidRPr="00CF0D7F">
          <w:rPr>
            <w:rStyle w:val="Hipervnculo"/>
            <w:rFonts w:ascii="Arial" w:hAnsi="Arial" w:cs="Arial"/>
            <w:color w:val="auto"/>
            <w:sz w:val="16"/>
            <w:szCs w:val="16"/>
          </w:rPr>
          <w:t>26</w:t>
        </w:r>
      </w:hyperlink>
      <w:r w:rsidRPr="00CF0D7F">
        <w:rPr>
          <w:rFonts w:ascii="Arial" w:hAnsi="Arial" w:cs="Arial"/>
          <w:sz w:val="16"/>
          <w:szCs w:val="16"/>
        </w:rPr>
        <w:t xml:space="preserve"> de la Le 1420 de 2010, que a la fecha de expedición de la presente ley no hayan sido enajenados por CISA, podrán enajenarse por esta entidad de acuerdo a sus política y procedimientos. Los recursos obtenidos por estas </w:t>
      </w:r>
      <w:proofErr w:type="gramStart"/>
      <w:r w:rsidRPr="00CF0D7F">
        <w:rPr>
          <w:rFonts w:ascii="Arial" w:hAnsi="Arial" w:cs="Arial"/>
          <w:sz w:val="16"/>
          <w:szCs w:val="16"/>
        </w:rPr>
        <w:t>ventas</w:t>
      </w:r>
      <w:proofErr w:type="gramEnd"/>
      <w:r w:rsidRPr="00CF0D7F">
        <w:rPr>
          <w:rFonts w:ascii="Arial" w:hAnsi="Arial" w:cs="Arial"/>
          <w:sz w:val="16"/>
          <w:szCs w:val="16"/>
        </w:rPr>
        <w:t xml:space="preserve"> así como los frutos de dichos bienes, se girarán al Ministerio de Hacienda y Crédito Público al final de cada ejercicio por CISA una vez descontados los costos asumidos por esta entidad así como la comisión por la venta fijada según sus políticas y procedimientos”.</w:t>
      </w:r>
    </w:p>
  </w:footnote>
  <w:footnote w:id="6">
    <w:p w14:paraId="402E3470" w14:textId="77777777" w:rsidR="000D686E" w:rsidRPr="00420B04" w:rsidRDefault="000D686E" w:rsidP="002F0391">
      <w:pPr>
        <w:pStyle w:val="Textonotapie"/>
        <w:rPr>
          <w:rFonts w:ascii="Arial" w:hAnsi="Arial" w:cs="Arial"/>
          <w:sz w:val="16"/>
          <w:szCs w:val="16"/>
          <w:lang w:val="es-CO"/>
        </w:rPr>
      </w:pPr>
      <w:r w:rsidRPr="00420B04">
        <w:rPr>
          <w:rStyle w:val="Refdenotaalpie"/>
          <w:rFonts w:ascii="Arial" w:hAnsi="Arial" w:cs="Arial"/>
          <w:sz w:val="16"/>
          <w:szCs w:val="16"/>
        </w:rPr>
        <w:footnoteRef/>
      </w:r>
      <w:r w:rsidRPr="00420B04">
        <w:rPr>
          <w:rFonts w:ascii="Arial" w:hAnsi="Arial" w:cs="Arial"/>
          <w:sz w:val="16"/>
          <w:szCs w:val="16"/>
        </w:rPr>
        <w:t xml:space="preserve"> </w:t>
      </w:r>
      <w:r w:rsidRPr="00420B04">
        <w:rPr>
          <w:rFonts w:ascii="Arial" w:hAnsi="Arial" w:cs="Arial"/>
          <w:sz w:val="16"/>
          <w:szCs w:val="16"/>
          <w:lang w:val="es-CO"/>
        </w:rPr>
        <w:t>Estatutos sociales disponibles para consulta en: [</w:t>
      </w:r>
      <w:hyperlink r:id="rId4" w:history="1">
        <w:r w:rsidRPr="00420B04">
          <w:rPr>
            <w:rStyle w:val="Hipervnculo"/>
            <w:rFonts w:ascii="Arial" w:hAnsi="Arial" w:cs="Arial"/>
            <w:sz w:val="16"/>
            <w:szCs w:val="16"/>
            <w:lang w:val="es-CO"/>
          </w:rPr>
          <w:t>https://www.cisa.gov.co/PortalCisa/media/3372/estatutos-sociales-cisa-v7-v-001.pdf</w:t>
        </w:r>
      </w:hyperlink>
      <w:r w:rsidRPr="00420B04">
        <w:rPr>
          <w:rFonts w:ascii="Arial" w:hAnsi="Arial" w:cs="Arial"/>
          <w:sz w:val="16"/>
          <w:szCs w:val="16"/>
          <w:lang w:val="es-CO"/>
        </w:rPr>
        <w:t>]. Consultados el: 01/07/2021.</w:t>
      </w:r>
    </w:p>
  </w:footnote>
  <w:footnote w:id="7">
    <w:p w14:paraId="6916DB22" w14:textId="77777777" w:rsidR="000D686E" w:rsidRPr="00420B04" w:rsidRDefault="000D686E" w:rsidP="00522476">
      <w:pPr>
        <w:pStyle w:val="Textonotapie"/>
        <w:rPr>
          <w:rFonts w:ascii="Arial" w:hAnsi="Arial" w:cs="Arial"/>
          <w:sz w:val="16"/>
          <w:szCs w:val="16"/>
          <w:lang w:val="es-CO"/>
        </w:rPr>
      </w:pPr>
      <w:r w:rsidRPr="00420B04">
        <w:rPr>
          <w:rStyle w:val="Refdenotaalpie"/>
          <w:rFonts w:ascii="Arial" w:hAnsi="Arial" w:cs="Arial"/>
          <w:sz w:val="16"/>
          <w:szCs w:val="16"/>
        </w:rPr>
        <w:footnoteRef/>
      </w:r>
      <w:r w:rsidRPr="00420B04">
        <w:rPr>
          <w:rFonts w:ascii="Arial" w:hAnsi="Arial" w:cs="Arial"/>
          <w:sz w:val="16"/>
          <w:szCs w:val="16"/>
        </w:rPr>
        <w:t xml:space="preserve"> </w:t>
      </w:r>
      <w:proofErr w:type="spellStart"/>
      <w:r w:rsidRPr="00420B04">
        <w:rPr>
          <w:rFonts w:ascii="Arial" w:hAnsi="Arial" w:cs="Arial"/>
          <w:sz w:val="16"/>
          <w:szCs w:val="16"/>
          <w:lang w:val="es-CO"/>
        </w:rPr>
        <w:t>Ibídem</w:t>
      </w:r>
      <w:proofErr w:type="spellEnd"/>
      <w:r w:rsidRPr="00420B04">
        <w:rPr>
          <w:rFonts w:ascii="Arial" w:hAnsi="Arial" w:cs="Arial"/>
          <w:sz w:val="16"/>
          <w:szCs w:val="16"/>
          <w:lang w:val="es-CO"/>
        </w:rPr>
        <w:t>, artículo 5.</w:t>
      </w:r>
    </w:p>
  </w:footnote>
  <w:footnote w:id="8">
    <w:p w14:paraId="3BE64B28" w14:textId="129CE673" w:rsidR="000D686E" w:rsidRPr="00CF0D7F" w:rsidRDefault="000D686E">
      <w:pPr>
        <w:pStyle w:val="Textonotapie"/>
        <w:rPr>
          <w:rFonts w:ascii="Arial" w:hAnsi="Arial" w:cs="Arial"/>
          <w:sz w:val="16"/>
          <w:szCs w:val="16"/>
          <w:lang w:val="es-MX"/>
        </w:rPr>
      </w:pPr>
      <w:r w:rsidRPr="00CF0D7F">
        <w:rPr>
          <w:rStyle w:val="Refdenotaalpie"/>
          <w:rFonts w:ascii="Arial" w:hAnsi="Arial" w:cs="Arial"/>
          <w:sz w:val="16"/>
          <w:szCs w:val="16"/>
        </w:rPr>
        <w:footnoteRef/>
      </w:r>
      <w:r w:rsidRPr="00CF0D7F">
        <w:rPr>
          <w:rFonts w:ascii="Arial" w:hAnsi="Arial" w:cs="Arial"/>
          <w:sz w:val="16"/>
          <w:szCs w:val="16"/>
        </w:rPr>
        <w:t xml:space="preserve"> </w:t>
      </w:r>
      <w:r w:rsidRPr="00CF0D7F">
        <w:rPr>
          <w:rFonts w:ascii="Arial" w:hAnsi="Arial" w:cs="Arial"/>
          <w:sz w:val="16"/>
          <w:szCs w:val="16"/>
          <w:lang w:val="es-MX"/>
        </w:rPr>
        <w:t>Cfr. Arts. 707, 1040 y 1051 del Código Civil.</w:t>
      </w:r>
    </w:p>
  </w:footnote>
  <w:footnote w:id="9">
    <w:p w14:paraId="26A6345C" w14:textId="0EC0C7D9" w:rsidR="000D686E" w:rsidRPr="00CF0D7F" w:rsidRDefault="000D686E">
      <w:pPr>
        <w:pStyle w:val="Textonotapie"/>
        <w:rPr>
          <w:rFonts w:ascii="Arial" w:hAnsi="Arial" w:cs="Arial"/>
          <w:sz w:val="16"/>
          <w:szCs w:val="16"/>
          <w:lang w:val="es-MX"/>
        </w:rPr>
      </w:pPr>
      <w:r w:rsidRPr="00CF0D7F">
        <w:rPr>
          <w:rStyle w:val="Refdenotaalpie"/>
          <w:rFonts w:ascii="Arial" w:hAnsi="Arial" w:cs="Arial"/>
          <w:sz w:val="16"/>
          <w:szCs w:val="16"/>
        </w:rPr>
        <w:footnoteRef/>
      </w:r>
      <w:r w:rsidRPr="00CF0D7F">
        <w:rPr>
          <w:rFonts w:ascii="Arial" w:hAnsi="Arial" w:cs="Arial"/>
          <w:sz w:val="16"/>
          <w:szCs w:val="16"/>
        </w:rPr>
        <w:t xml:space="preserve"> </w:t>
      </w:r>
      <w:r w:rsidRPr="00CF0D7F">
        <w:rPr>
          <w:rFonts w:ascii="Arial" w:hAnsi="Arial" w:cs="Arial"/>
          <w:sz w:val="16"/>
          <w:szCs w:val="16"/>
          <w:lang w:val="es-MX"/>
        </w:rPr>
        <w:t xml:space="preserve">Cfr. </w:t>
      </w:r>
      <w:proofErr w:type="spellStart"/>
      <w:r w:rsidRPr="00CF0D7F">
        <w:rPr>
          <w:rFonts w:ascii="Arial" w:hAnsi="Arial" w:cs="Arial"/>
          <w:sz w:val="16"/>
          <w:szCs w:val="16"/>
          <w:lang w:val="es-MX"/>
        </w:rPr>
        <w:t>Num</w:t>
      </w:r>
      <w:proofErr w:type="spellEnd"/>
      <w:r w:rsidRPr="00CF0D7F">
        <w:rPr>
          <w:rFonts w:ascii="Arial" w:hAnsi="Arial" w:cs="Arial"/>
          <w:sz w:val="16"/>
          <w:szCs w:val="16"/>
          <w:lang w:val="es-MX"/>
        </w:rPr>
        <w:t xml:space="preserve">. 19 del Art. 21 y </w:t>
      </w:r>
      <w:proofErr w:type="spellStart"/>
      <w:r w:rsidRPr="00CF0D7F">
        <w:rPr>
          <w:rFonts w:ascii="Arial" w:hAnsi="Arial" w:cs="Arial"/>
          <w:sz w:val="16"/>
          <w:szCs w:val="16"/>
          <w:lang w:val="es-MX"/>
        </w:rPr>
        <w:t>Num</w:t>
      </w:r>
      <w:proofErr w:type="spellEnd"/>
      <w:r w:rsidRPr="00CF0D7F">
        <w:rPr>
          <w:rFonts w:ascii="Arial" w:hAnsi="Arial" w:cs="Arial"/>
          <w:sz w:val="16"/>
          <w:szCs w:val="16"/>
          <w:lang w:val="es-MX"/>
        </w:rPr>
        <w:t>. 4, 8 y 12 del Art. 39 de la Ley 7 de 1979.</w:t>
      </w:r>
    </w:p>
  </w:footnote>
  <w:footnote w:id="10">
    <w:p w14:paraId="0BFE70F0" w14:textId="77777777" w:rsidR="000D686E" w:rsidRPr="002B7656" w:rsidRDefault="000D686E" w:rsidP="00A70E30">
      <w:pPr>
        <w:pStyle w:val="Textonotapie"/>
        <w:rPr>
          <w:rFonts w:ascii="Arial" w:hAnsi="Arial" w:cs="Arial"/>
          <w:sz w:val="16"/>
          <w:szCs w:val="16"/>
          <w:lang w:val="es-CO"/>
        </w:rPr>
      </w:pPr>
      <w:r w:rsidRPr="002B7656">
        <w:rPr>
          <w:rStyle w:val="Refdenotaalpie"/>
          <w:rFonts w:ascii="Arial" w:hAnsi="Arial" w:cs="Arial"/>
          <w:sz w:val="16"/>
          <w:szCs w:val="16"/>
        </w:rPr>
        <w:footnoteRef/>
      </w:r>
      <w:r w:rsidRPr="00CF0D7F">
        <w:rPr>
          <w:rFonts w:ascii="Arial" w:hAnsi="Arial" w:cs="Arial"/>
          <w:sz w:val="16"/>
          <w:szCs w:val="16"/>
          <w:vertAlign w:val="superscript"/>
        </w:rPr>
        <w:t xml:space="preserve"> </w:t>
      </w:r>
      <w:r w:rsidRPr="002B7656">
        <w:rPr>
          <w:rFonts w:ascii="Arial" w:hAnsi="Arial" w:cs="Arial"/>
          <w:sz w:val="16"/>
          <w:szCs w:val="16"/>
        </w:rPr>
        <w:t>Cfr. artículos 2.4.3.1.3.9 y 2.4.3.1.3.11 del Decreto 1084 de 2015.</w:t>
      </w:r>
    </w:p>
  </w:footnote>
  <w:footnote w:id="11">
    <w:p w14:paraId="047830BC" w14:textId="3DBB4465" w:rsidR="000D686E" w:rsidRPr="009C2929" w:rsidRDefault="000D686E" w:rsidP="00A70E30">
      <w:pPr>
        <w:pStyle w:val="Textonotapie"/>
        <w:rPr>
          <w:rFonts w:ascii="Arial" w:hAnsi="Arial" w:cs="Arial"/>
          <w:sz w:val="16"/>
          <w:szCs w:val="16"/>
          <w:lang w:val="es-MX"/>
        </w:rPr>
      </w:pPr>
      <w:r w:rsidRPr="002B7656">
        <w:rPr>
          <w:rStyle w:val="Refdenotaalpie"/>
          <w:rFonts w:ascii="Arial" w:hAnsi="Arial" w:cs="Arial"/>
          <w:sz w:val="16"/>
          <w:szCs w:val="16"/>
        </w:rPr>
        <w:footnoteRef/>
      </w:r>
      <w:r w:rsidRPr="00CF0D7F">
        <w:rPr>
          <w:rFonts w:ascii="Arial" w:hAnsi="Arial" w:cs="Arial"/>
          <w:sz w:val="16"/>
          <w:szCs w:val="16"/>
          <w:vertAlign w:val="superscript"/>
        </w:rPr>
        <w:t xml:space="preserve"> </w:t>
      </w:r>
      <w:r w:rsidRPr="002B7656">
        <w:rPr>
          <w:rFonts w:ascii="Arial" w:hAnsi="Arial" w:cs="Arial"/>
          <w:sz w:val="16"/>
          <w:szCs w:val="16"/>
          <w:lang w:val="es-MX"/>
        </w:rPr>
        <w:t xml:space="preserve">Cfr. </w:t>
      </w:r>
      <w:r w:rsidRPr="002B7656">
        <w:rPr>
          <w:rFonts w:ascii="Arial" w:hAnsi="Arial" w:cs="Arial"/>
          <w:sz w:val="16"/>
          <w:szCs w:val="16"/>
        </w:rPr>
        <w:t>2.4.3.1.3.9</w:t>
      </w:r>
      <w:r w:rsidRPr="009C2929">
        <w:rPr>
          <w:rFonts w:ascii="Arial" w:hAnsi="Arial" w:cs="Arial"/>
          <w:sz w:val="16"/>
          <w:szCs w:val="16"/>
        </w:rPr>
        <w:t xml:space="preserve"> </w:t>
      </w:r>
      <w:proofErr w:type="spellStart"/>
      <w:r w:rsidRPr="009C2929">
        <w:rPr>
          <w:rFonts w:ascii="Arial" w:hAnsi="Arial" w:cs="Arial"/>
          <w:sz w:val="16"/>
          <w:szCs w:val="16"/>
        </w:rPr>
        <w:t>ibídem</w:t>
      </w:r>
      <w:proofErr w:type="spellEnd"/>
      <w:r w:rsidRPr="009C2929">
        <w:rPr>
          <w:rFonts w:ascii="Arial" w:hAnsi="Arial" w:cs="Arial"/>
          <w:sz w:val="16"/>
          <w:szCs w:val="16"/>
        </w:rPr>
        <w:t xml:space="preserve">. </w:t>
      </w:r>
    </w:p>
  </w:footnote>
  <w:footnote w:id="12">
    <w:p w14:paraId="4C32BDD5" w14:textId="3C59E2B6" w:rsidR="00A90F0B" w:rsidRPr="00CF0D7F" w:rsidRDefault="00A90F0B" w:rsidP="00CF0D7F">
      <w:pPr>
        <w:pStyle w:val="Textonotapie"/>
        <w:jc w:val="both"/>
        <w:rPr>
          <w:sz w:val="16"/>
          <w:szCs w:val="16"/>
          <w:lang w:val="es-CO"/>
        </w:rPr>
      </w:pPr>
      <w:r w:rsidRPr="00CF0D7F">
        <w:rPr>
          <w:rStyle w:val="Refdenotaalpie"/>
          <w:rFonts w:ascii="Arial" w:hAnsi="Arial" w:cs="Arial"/>
          <w:sz w:val="16"/>
          <w:szCs w:val="16"/>
        </w:rPr>
        <w:footnoteRef/>
      </w:r>
      <w:r w:rsidRPr="00CF0D7F">
        <w:rPr>
          <w:rFonts w:ascii="Arial" w:hAnsi="Arial" w:cs="Arial"/>
          <w:sz w:val="16"/>
          <w:szCs w:val="16"/>
          <w:vertAlign w:val="superscript"/>
        </w:rPr>
        <w:t xml:space="preserve"> </w:t>
      </w:r>
      <w:r w:rsidRPr="00CF0D7F">
        <w:rPr>
          <w:rFonts w:ascii="Arial" w:hAnsi="Arial" w:cs="Arial"/>
          <w:sz w:val="16"/>
          <w:szCs w:val="16"/>
        </w:rPr>
        <w:t>Co</w:t>
      </w:r>
      <w:r w:rsidR="00D01BEF" w:rsidRPr="00CF0D7F">
        <w:rPr>
          <w:rFonts w:ascii="Arial" w:hAnsi="Arial" w:cs="Arial"/>
          <w:sz w:val="16"/>
          <w:szCs w:val="16"/>
        </w:rPr>
        <w:t xml:space="preserve">rte Constitucional [C.C.], </w:t>
      </w:r>
      <w:proofErr w:type="gramStart"/>
      <w:r w:rsidR="00D01BEF" w:rsidRPr="00CF0D7F">
        <w:rPr>
          <w:rFonts w:ascii="Arial" w:hAnsi="Arial" w:cs="Arial"/>
          <w:sz w:val="16"/>
          <w:szCs w:val="16"/>
        </w:rPr>
        <w:t>Enero</w:t>
      </w:r>
      <w:proofErr w:type="gramEnd"/>
      <w:r w:rsidR="00D01BEF" w:rsidRPr="00CF0D7F">
        <w:rPr>
          <w:rFonts w:ascii="Arial" w:hAnsi="Arial" w:cs="Arial"/>
          <w:sz w:val="16"/>
          <w:szCs w:val="16"/>
        </w:rPr>
        <w:t xml:space="preserve"> 26</w:t>
      </w:r>
      <w:r w:rsidRPr="00CF0D7F">
        <w:rPr>
          <w:rFonts w:ascii="Arial" w:hAnsi="Arial" w:cs="Arial"/>
          <w:sz w:val="16"/>
          <w:szCs w:val="16"/>
        </w:rPr>
        <w:t>, 20</w:t>
      </w:r>
      <w:r w:rsidR="00D01BEF" w:rsidRPr="00CF0D7F">
        <w:rPr>
          <w:rFonts w:ascii="Arial" w:hAnsi="Arial" w:cs="Arial"/>
          <w:sz w:val="16"/>
          <w:szCs w:val="16"/>
        </w:rPr>
        <w:t>00</w:t>
      </w:r>
      <w:r w:rsidRPr="00CF0D7F">
        <w:rPr>
          <w:rFonts w:ascii="Arial" w:hAnsi="Arial" w:cs="Arial"/>
          <w:sz w:val="16"/>
          <w:szCs w:val="16"/>
        </w:rPr>
        <w:t xml:space="preserve">, M.P: C. </w:t>
      </w:r>
      <w:r w:rsidR="00D01BEF" w:rsidRPr="00CF0D7F">
        <w:rPr>
          <w:rFonts w:ascii="Arial" w:hAnsi="Arial" w:cs="Arial"/>
          <w:sz w:val="16"/>
          <w:szCs w:val="16"/>
        </w:rPr>
        <w:t>Vladimiro Naranjo Mesa</w:t>
      </w:r>
      <w:r w:rsidRPr="00CF0D7F">
        <w:rPr>
          <w:rFonts w:ascii="Arial" w:hAnsi="Arial" w:cs="Arial"/>
          <w:sz w:val="16"/>
          <w:szCs w:val="16"/>
        </w:rPr>
        <w:t>. Sentencia 03</w:t>
      </w:r>
      <w:r w:rsidR="00D01BEF" w:rsidRPr="00CF0D7F">
        <w:rPr>
          <w:rFonts w:ascii="Arial" w:hAnsi="Arial" w:cs="Arial"/>
          <w:sz w:val="16"/>
          <w:szCs w:val="16"/>
        </w:rPr>
        <w:t>7</w:t>
      </w:r>
      <w:r w:rsidRPr="00CF0D7F">
        <w:rPr>
          <w:rFonts w:ascii="Arial" w:hAnsi="Arial" w:cs="Arial"/>
          <w:sz w:val="16"/>
          <w:szCs w:val="16"/>
        </w:rPr>
        <w:t>/</w:t>
      </w:r>
      <w:r w:rsidR="00D01BEF" w:rsidRPr="00CF0D7F">
        <w:rPr>
          <w:rFonts w:ascii="Arial" w:hAnsi="Arial" w:cs="Arial"/>
          <w:sz w:val="16"/>
          <w:szCs w:val="16"/>
        </w:rPr>
        <w:t>00</w:t>
      </w:r>
      <w:r w:rsidRPr="00CF0D7F">
        <w:rPr>
          <w:rFonts w:ascii="Arial" w:hAnsi="Arial" w:cs="Arial"/>
          <w:sz w:val="16"/>
          <w:szCs w:val="16"/>
        </w:rPr>
        <w:t xml:space="preserve">. Colombia. </w:t>
      </w:r>
      <w:r w:rsidR="00D01BEF" w:rsidRPr="00CF0D7F">
        <w:rPr>
          <w:rFonts w:ascii="Arial" w:hAnsi="Arial" w:cs="Arial"/>
          <w:sz w:val="16"/>
          <w:szCs w:val="16"/>
        </w:rPr>
        <w:t>08</w:t>
      </w:r>
      <w:r w:rsidRPr="00CF0D7F">
        <w:rPr>
          <w:rFonts w:ascii="Arial" w:hAnsi="Arial" w:cs="Arial"/>
          <w:sz w:val="16"/>
          <w:szCs w:val="16"/>
        </w:rPr>
        <w:t>/0</w:t>
      </w:r>
      <w:r w:rsidR="00D01BEF" w:rsidRPr="00CF0D7F">
        <w:rPr>
          <w:rFonts w:ascii="Arial" w:hAnsi="Arial" w:cs="Arial"/>
          <w:sz w:val="16"/>
          <w:szCs w:val="16"/>
        </w:rPr>
        <w:t>9</w:t>
      </w:r>
      <w:r w:rsidRPr="00CF0D7F">
        <w:rPr>
          <w:rFonts w:ascii="Arial" w:hAnsi="Arial" w:cs="Arial"/>
          <w:sz w:val="16"/>
          <w:szCs w:val="16"/>
        </w:rPr>
        <w:t>/20</w:t>
      </w:r>
      <w:r w:rsidR="00D01BEF" w:rsidRPr="00CF0D7F">
        <w:rPr>
          <w:rFonts w:ascii="Arial" w:hAnsi="Arial" w:cs="Arial"/>
          <w:sz w:val="16"/>
          <w:szCs w:val="16"/>
        </w:rPr>
        <w:t>21</w:t>
      </w:r>
      <w:r w:rsidRPr="00CF0D7F">
        <w:rPr>
          <w:rFonts w:ascii="Arial" w:hAnsi="Arial" w:cs="Arial"/>
          <w:sz w:val="16"/>
          <w:szCs w:val="16"/>
        </w:rPr>
        <w:t xml:space="preserve">. Recuperado de </w:t>
      </w:r>
      <w:r w:rsidR="00D01BEF" w:rsidRPr="00CF0D7F">
        <w:rPr>
          <w:rFonts w:ascii="Arial" w:hAnsi="Arial" w:cs="Arial"/>
          <w:sz w:val="16"/>
          <w:szCs w:val="16"/>
        </w:rPr>
        <w:t>https://www.corteconstitucional.gov.co/relatoria/2000/C-037-00.htm#_ftnref11.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0D686E" w:rsidRDefault="000D686E">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0D686E" w:rsidRPr="00BB1379" w:rsidRDefault="000D686E"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0D686E" w:rsidRPr="00BB1379" w:rsidRDefault="000D686E"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A6DBE4D" w:rsidR="000D686E" w:rsidRDefault="000D686E" w:rsidP="00200D9C">
                          <w:pPr>
                            <w:contextualSpacing/>
                            <w:rPr>
                              <w:rFonts w:ascii="Arial" w:hAnsi="Arial" w:cs="Arial"/>
                              <w:b/>
                              <w:color w:val="000000"/>
                            </w:rPr>
                          </w:pPr>
                          <w:r>
                            <w:rPr>
                              <w:rFonts w:ascii="Arial" w:hAnsi="Arial" w:cs="Arial"/>
                              <w:b/>
                              <w:color w:val="000000"/>
                            </w:rPr>
                            <w:t>Oficina Asesora Jurídica</w:t>
                          </w:r>
                        </w:p>
                        <w:p w14:paraId="2844EA5F" w14:textId="11720187" w:rsidR="000D686E" w:rsidRPr="00BB1379" w:rsidRDefault="000D686E" w:rsidP="00200D9C">
                          <w:pPr>
                            <w:contextualSpacing/>
                            <w:rPr>
                              <w:rFonts w:ascii="Arial" w:hAnsi="Arial" w:cs="Arial"/>
                              <w:b/>
                              <w:color w:val="000000"/>
                            </w:rPr>
                          </w:pPr>
                          <w:r>
                            <w:rPr>
                              <w:rFonts w:ascii="Arial" w:hAnsi="Arial" w:cs="Arial"/>
                              <w:b/>
                              <w:color w:val="000000"/>
                            </w:rPr>
                            <w:t>Grupo de Asesoría Jurídica</w:t>
                          </w:r>
                        </w:p>
                        <w:p w14:paraId="71763885" w14:textId="12228240" w:rsidR="000D686E" w:rsidRPr="00BB1379" w:rsidRDefault="000D686E" w:rsidP="00200D9C">
                          <w:pPr>
                            <w:contextualSpacing/>
                            <w:rPr>
                              <w:rFonts w:ascii="Arial" w:hAnsi="Arial" w:cs="Arial"/>
                              <w:b/>
                              <w:color w:val="000000"/>
                            </w:rPr>
                          </w:pPr>
                          <w:r>
                            <w:rPr>
                              <w:rFonts w:ascii="Arial" w:hAnsi="Arial" w:cs="Arial"/>
                              <w:b/>
                              <w:color w:val="000000"/>
                            </w:rPr>
                            <w:t>Clasificada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0D686E" w:rsidRPr="00BB1379" w:rsidRDefault="000D686E"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0D686E" w:rsidRPr="00BB1379" w:rsidRDefault="000D686E"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A6DBE4D" w:rsidR="000D686E" w:rsidRDefault="000D686E" w:rsidP="00200D9C">
                    <w:pPr>
                      <w:contextualSpacing/>
                      <w:rPr>
                        <w:rFonts w:ascii="Arial" w:hAnsi="Arial" w:cs="Arial"/>
                        <w:b/>
                        <w:color w:val="000000"/>
                      </w:rPr>
                    </w:pPr>
                    <w:r>
                      <w:rPr>
                        <w:rFonts w:ascii="Arial" w:hAnsi="Arial" w:cs="Arial"/>
                        <w:b/>
                        <w:color w:val="000000"/>
                      </w:rPr>
                      <w:t>Oficina Asesora Jurídica</w:t>
                    </w:r>
                  </w:p>
                  <w:p w14:paraId="2844EA5F" w14:textId="11720187" w:rsidR="000D686E" w:rsidRPr="00BB1379" w:rsidRDefault="000D686E" w:rsidP="00200D9C">
                    <w:pPr>
                      <w:contextualSpacing/>
                      <w:rPr>
                        <w:rFonts w:ascii="Arial" w:hAnsi="Arial" w:cs="Arial"/>
                        <w:b/>
                        <w:color w:val="000000"/>
                      </w:rPr>
                    </w:pPr>
                    <w:r>
                      <w:rPr>
                        <w:rFonts w:ascii="Arial" w:hAnsi="Arial" w:cs="Arial"/>
                        <w:b/>
                        <w:color w:val="000000"/>
                      </w:rPr>
                      <w:t>Grupo de Asesoría Jurídica</w:t>
                    </w:r>
                  </w:p>
                  <w:p w14:paraId="71763885" w14:textId="12228240" w:rsidR="000D686E" w:rsidRPr="00BB1379" w:rsidRDefault="000D686E" w:rsidP="00200D9C">
                    <w:pPr>
                      <w:contextualSpacing/>
                      <w:rPr>
                        <w:rFonts w:ascii="Arial" w:hAnsi="Arial" w:cs="Arial"/>
                        <w:b/>
                        <w:color w:val="000000"/>
                      </w:rPr>
                    </w:pPr>
                    <w:r>
                      <w:rPr>
                        <w:rFonts w:ascii="Arial" w:hAnsi="Arial" w:cs="Arial"/>
                        <w:b/>
                        <w:color w:val="000000"/>
                      </w:rPr>
                      <w:t>Clasificada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0D686E" w:rsidRDefault="000D686E">
    <w:pPr>
      <w:pStyle w:val="Encabezado"/>
    </w:pPr>
  </w:p>
  <w:p w14:paraId="063F274E" w14:textId="3EFF6A1D" w:rsidR="000D686E" w:rsidRDefault="000D686E">
    <w:pPr>
      <w:pStyle w:val="Encabezado"/>
    </w:pPr>
  </w:p>
  <w:p w14:paraId="60726CCE" w14:textId="177EE378" w:rsidR="000D686E" w:rsidRDefault="000D686E">
    <w:pPr>
      <w:pStyle w:val="Encabezado"/>
    </w:pPr>
  </w:p>
  <w:p w14:paraId="6796AE61" w14:textId="21718592" w:rsidR="000D686E" w:rsidRDefault="000D686E">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11E7C"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0D686E" w:rsidRDefault="000D68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9C7"/>
    <w:multiLevelType w:val="hybridMultilevel"/>
    <w:tmpl w:val="91F62A02"/>
    <w:lvl w:ilvl="0" w:tplc="0D2CA4F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36B0C"/>
    <w:multiLevelType w:val="hybridMultilevel"/>
    <w:tmpl w:val="33442D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DD6827"/>
    <w:multiLevelType w:val="multilevel"/>
    <w:tmpl w:val="E7565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B92643"/>
    <w:multiLevelType w:val="hybridMultilevel"/>
    <w:tmpl w:val="407AE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510CAE"/>
    <w:multiLevelType w:val="hybridMultilevel"/>
    <w:tmpl w:val="91F62A02"/>
    <w:lvl w:ilvl="0" w:tplc="0D2CA4F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2F1930"/>
    <w:multiLevelType w:val="multilevel"/>
    <w:tmpl w:val="D896AD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1CB2"/>
    <w:rsid w:val="000029BA"/>
    <w:rsid w:val="00003FDF"/>
    <w:rsid w:val="000103FF"/>
    <w:rsid w:val="00011B70"/>
    <w:rsid w:val="00013066"/>
    <w:rsid w:val="00031F94"/>
    <w:rsid w:val="000412EF"/>
    <w:rsid w:val="00045011"/>
    <w:rsid w:val="0004784E"/>
    <w:rsid w:val="00051B23"/>
    <w:rsid w:val="00055313"/>
    <w:rsid w:val="0007627B"/>
    <w:rsid w:val="00077B62"/>
    <w:rsid w:val="00083686"/>
    <w:rsid w:val="00090FCE"/>
    <w:rsid w:val="00091926"/>
    <w:rsid w:val="000A30AC"/>
    <w:rsid w:val="000A4746"/>
    <w:rsid w:val="000B04E3"/>
    <w:rsid w:val="000B10B5"/>
    <w:rsid w:val="000B1930"/>
    <w:rsid w:val="000B2529"/>
    <w:rsid w:val="000C2EC8"/>
    <w:rsid w:val="000C3BAC"/>
    <w:rsid w:val="000C48FF"/>
    <w:rsid w:val="000C6546"/>
    <w:rsid w:val="000C709A"/>
    <w:rsid w:val="000D686E"/>
    <w:rsid w:val="000E01C1"/>
    <w:rsid w:val="000E139F"/>
    <w:rsid w:val="000E1985"/>
    <w:rsid w:val="000E1F68"/>
    <w:rsid w:val="000F34AB"/>
    <w:rsid w:val="000F4541"/>
    <w:rsid w:val="000F61C7"/>
    <w:rsid w:val="000F6647"/>
    <w:rsid w:val="00101BC2"/>
    <w:rsid w:val="00112506"/>
    <w:rsid w:val="00112F15"/>
    <w:rsid w:val="00115C0C"/>
    <w:rsid w:val="0012225C"/>
    <w:rsid w:val="00122E7A"/>
    <w:rsid w:val="00133365"/>
    <w:rsid w:val="00142C39"/>
    <w:rsid w:val="00143060"/>
    <w:rsid w:val="00143EFD"/>
    <w:rsid w:val="00146472"/>
    <w:rsid w:val="001478FC"/>
    <w:rsid w:val="00153FF0"/>
    <w:rsid w:val="00163B6B"/>
    <w:rsid w:val="00180C68"/>
    <w:rsid w:val="001B0461"/>
    <w:rsid w:val="001B1228"/>
    <w:rsid w:val="001C267A"/>
    <w:rsid w:val="001C3DAB"/>
    <w:rsid w:val="001C7D7F"/>
    <w:rsid w:val="001D1031"/>
    <w:rsid w:val="001D37B5"/>
    <w:rsid w:val="001F1F36"/>
    <w:rsid w:val="00200D9C"/>
    <w:rsid w:val="00203D0C"/>
    <w:rsid w:val="002054FC"/>
    <w:rsid w:val="00205858"/>
    <w:rsid w:val="0021518F"/>
    <w:rsid w:val="002166D7"/>
    <w:rsid w:val="002201B6"/>
    <w:rsid w:val="00222981"/>
    <w:rsid w:val="00232B2F"/>
    <w:rsid w:val="00237140"/>
    <w:rsid w:val="0023791D"/>
    <w:rsid w:val="00243275"/>
    <w:rsid w:val="0025029B"/>
    <w:rsid w:val="00252E52"/>
    <w:rsid w:val="00256E93"/>
    <w:rsid w:val="00272DE8"/>
    <w:rsid w:val="002736C7"/>
    <w:rsid w:val="00275A96"/>
    <w:rsid w:val="00282C30"/>
    <w:rsid w:val="0029003B"/>
    <w:rsid w:val="002912ED"/>
    <w:rsid w:val="002B7656"/>
    <w:rsid w:val="002C2271"/>
    <w:rsid w:val="002D18D5"/>
    <w:rsid w:val="002D31BC"/>
    <w:rsid w:val="002D7041"/>
    <w:rsid w:val="002E1C19"/>
    <w:rsid w:val="002F0391"/>
    <w:rsid w:val="002F0B60"/>
    <w:rsid w:val="002F2CDA"/>
    <w:rsid w:val="002F3C0B"/>
    <w:rsid w:val="002F3FBB"/>
    <w:rsid w:val="00300675"/>
    <w:rsid w:val="00304333"/>
    <w:rsid w:val="00305677"/>
    <w:rsid w:val="0031445E"/>
    <w:rsid w:val="00317B87"/>
    <w:rsid w:val="00322576"/>
    <w:rsid w:val="00335555"/>
    <w:rsid w:val="00341496"/>
    <w:rsid w:val="0034492E"/>
    <w:rsid w:val="00353342"/>
    <w:rsid w:val="0035474C"/>
    <w:rsid w:val="003577BD"/>
    <w:rsid w:val="003640E1"/>
    <w:rsid w:val="0036436C"/>
    <w:rsid w:val="003666AA"/>
    <w:rsid w:val="0036674C"/>
    <w:rsid w:val="0037096C"/>
    <w:rsid w:val="00374FC8"/>
    <w:rsid w:val="00380EAC"/>
    <w:rsid w:val="003859D9"/>
    <w:rsid w:val="00385F1B"/>
    <w:rsid w:val="0038648B"/>
    <w:rsid w:val="00390B3C"/>
    <w:rsid w:val="003960FB"/>
    <w:rsid w:val="00397A9C"/>
    <w:rsid w:val="003A41E8"/>
    <w:rsid w:val="003A4A65"/>
    <w:rsid w:val="003A60E0"/>
    <w:rsid w:val="003B7F8F"/>
    <w:rsid w:val="003C337D"/>
    <w:rsid w:val="003C7697"/>
    <w:rsid w:val="003D322A"/>
    <w:rsid w:val="003E0CBA"/>
    <w:rsid w:val="003E1550"/>
    <w:rsid w:val="003F1AE2"/>
    <w:rsid w:val="00400379"/>
    <w:rsid w:val="00400685"/>
    <w:rsid w:val="00402E73"/>
    <w:rsid w:val="00407FDB"/>
    <w:rsid w:val="00413072"/>
    <w:rsid w:val="00420B04"/>
    <w:rsid w:val="00432295"/>
    <w:rsid w:val="00440DC3"/>
    <w:rsid w:val="004450DA"/>
    <w:rsid w:val="004462DA"/>
    <w:rsid w:val="004525F1"/>
    <w:rsid w:val="00461E2C"/>
    <w:rsid w:val="004621E0"/>
    <w:rsid w:val="00467515"/>
    <w:rsid w:val="0047378F"/>
    <w:rsid w:val="00473B44"/>
    <w:rsid w:val="0047561F"/>
    <w:rsid w:val="00480EDA"/>
    <w:rsid w:val="00494BE0"/>
    <w:rsid w:val="004A5557"/>
    <w:rsid w:val="004B161D"/>
    <w:rsid w:val="004B1A9E"/>
    <w:rsid w:val="004B1C44"/>
    <w:rsid w:val="004B2A90"/>
    <w:rsid w:val="004C1C5E"/>
    <w:rsid w:val="004C4317"/>
    <w:rsid w:val="004D4C08"/>
    <w:rsid w:val="004E42E9"/>
    <w:rsid w:val="004F5AE1"/>
    <w:rsid w:val="004F5DDE"/>
    <w:rsid w:val="00504516"/>
    <w:rsid w:val="00513AB3"/>
    <w:rsid w:val="00516E15"/>
    <w:rsid w:val="00521016"/>
    <w:rsid w:val="00522476"/>
    <w:rsid w:val="00523587"/>
    <w:rsid w:val="005260CF"/>
    <w:rsid w:val="0052701A"/>
    <w:rsid w:val="00555055"/>
    <w:rsid w:val="00560E0B"/>
    <w:rsid w:val="0056703A"/>
    <w:rsid w:val="00572A82"/>
    <w:rsid w:val="00575C81"/>
    <w:rsid w:val="005779EF"/>
    <w:rsid w:val="00596A64"/>
    <w:rsid w:val="0059745B"/>
    <w:rsid w:val="00597B58"/>
    <w:rsid w:val="005A0081"/>
    <w:rsid w:val="005A252D"/>
    <w:rsid w:val="005A7D85"/>
    <w:rsid w:val="005A7F8C"/>
    <w:rsid w:val="005B46A0"/>
    <w:rsid w:val="005B7148"/>
    <w:rsid w:val="005B76F1"/>
    <w:rsid w:val="005C0935"/>
    <w:rsid w:val="005C0CD1"/>
    <w:rsid w:val="005C13D2"/>
    <w:rsid w:val="005C5821"/>
    <w:rsid w:val="005C5F3C"/>
    <w:rsid w:val="005D4B04"/>
    <w:rsid w:val="005D515E"/>
    <w:rsid w:val="005E12A9"/>
    <w:rsid w:val="005E243E"/>
    <w:rsid w:val="0060206D"/>
    <w:rsid w:val="00615302"/>
    <w:rsid w:val="00627AE8"/>
    <w:rsid w:val="0063271E"/>
    <w:rsid w:val="006457BD"/>
    <w:rsid w:val="00655A97"/>
    <w:rsid w:val="00656067"/>
    <w:rsid w:val="006658F7"/>
    <w:rsid w:val="0066660A"/>
    <w:rsid w:val="006673CD"/>
    <w:rsid w:val="00672D54"/>
    <w:rsid w:val="006775AA"/>
    <w:rsid w:val="00680E6F"/>
    <w:rsid w:val="00697A61"/>
    <w:rsid w:val="006A0146"/>
    <w:rsid w:val="006A12BC"/>
    <w:rsid w:val="006A5ACB"/>
    <w:rsid w:val="006A65B3"/>
    <w:rsid w:val="006B509C"/>
    <w:rsid w:val="006C03F4"/>
    <w:rsid w:val="006C2815"/>
    <w:rsid w:val="006C4D16"/>
    <w:rsid w:val="006E479F"/>
    <w:rsid w:val="006E5A2B"/>
    <w:rsid w:val="006F1AB3"/>
    <w:rsid w:val="006F2136"/>
    <w:rsid w:val="006F4BFA"/>
    <w:rsid w:val="00704FC3"/>
    <w:rsid w:val="00707DB5"/>
    <w:rsid w:val="00710AB4"/>
    <w:rsid w:val="007121B1"/>
    <w:rsid w:val="007221C2"/>
    <w:rsid w:val="0072339B"/>
    <w:rsid w:val="00727B87"/>
    <w:rsid w:val="007323E2"/>
    <w:rsid w:val="0074497A"/>
    <w:rsid w:val="00763D65"/>
    <w:rsid w:val="00770334"/>
    <w:rsid w:val="0077096E"/>
    <w:rsid w:val="007745E1"/>
    <w:rsid w:val="00784F92"/>
    <w:rsid w:val="00785C86"/>
    <w:rsid w:val="00791522"/>
    <w:rsid w:val="00791AB6"/>
    <w:rsid w:val="0079381C"/>
    <w:rsid w:val="007964A2"/>
    <w:rsid w:val="007A1361"/>
    <w:rsid w:val="007C0257"/>
    <w:rsid w:val="007C2191"/>
    <w:rsid w:val="007D1FEA"/>
    <w:rsid w:val="007D5B0B"/>
    <w:rsid w:val="007D62A8"/>
    <w:rsid w:val="007E3226"/>
    <w:rsid w:val="007F4108"/>
    <w:rsid w:val="007F5DD7"/>
    <w:rsid w:val="008219BE"/>
    <w:rsid w:val="00821F77"/>
    <w:rsid w:val="00834496"/>
    <w:rsid w:val="00836305"/>
    <w:rsid w:val="00844FA7"/>
    <w:rsid w:val="008573CE"/>
    <w:rsid w:val="00857F11"/>
    <w:rsid w:val="0087583B"/>
    <w:rsid w:val="0087719F"/>
    <w:rsid w:val="00880626"/>
    <w:rsid w:val="008810E4"/>
    <w:rsid w:val="0088393D"/>
    <w:rsid w:val="008A26FD"/>
    <w:rsid w:val="008A3478"/>
    <w:rsid w:val="008B2C30"/>
    <w:rsid w:val="008B67DD"/>
    <w:rsid w:val="008C6054"/>
    <w:rsid w:val="008E2E2E"/>
    <w:rsid w:val="008E5735"/>
    <w:rsid w:val="008F404F"/>
    <w:rsid w:val="008F440C"/>
    <w:rsid w:val="008F651E"/>
    <w:rsid w:val="009014EB"/>
    <w:rsid w:val="0090155D"/>
    <w:rsid w:val="00903BDF"/>
    <w:rsid w:val="0091254D"/>
    <w:rsid w:val="00913EA8"/>
    <w:rsid w:val="00914F44"/>
    <w:rsid w:val="009169E9"/>
    <w:rsid w:val="00921888"/>
    <w:rsid w:val="009303E1"/>
    <w:rsid w:val="00942C15"/>
    <w:rsid w:val="009437B8"/>
    <w:rsid w:val="009465E4"/>
    <w:rsid w:val="0095471F"/>
    <w:rsid w:val="009602FE"/>
    <w:rsid w:val="00964BB1"/>
    <w:rsid w:val="00981200"/>
    <w:rsid w:val="00985285"/>
    <w:rsid w:val="0098632B"/>
    <w:rsid w:val="0098663D"/>
    <w:rsid w:val="00987DB7"/>
    <w:rsid w:val="00995892"/>
    <w:rsid w:val="009A7ADC"/>
    <w:rsid w:val="009B4E04"/>
    <w:rsid w:val="009B637D"/>
    <w:rsid w:val="009C2929"/>
    <w:rsid w:val="009C4695"/>
    <w:rsid w:val="009D0D33"/>
    <w:rsid w:val="009D73D0"/>
    <w:rsid w:val="009E224F"/>
    <w:rsid w:val="009E2574"/>
    <w:rsid w:val="009E606B"/>
    <w:rsid w:val="00A04D12"/>
    <w:rsid w:val="00A13A6B"/>
    <w:rsid w:val="00A230B6"/>
    <w:rsid w:val="00A23933"/>
    <w:rsid w:val="00A23E2C"/>
    <w:rsid w:val="00A241EA"/>
    <w:rsid w:val="00A249A6"/>
    <w:rsid w:val="00A24E65"/>
    <w:rsid w:val="00A3378A"/>
    <w:rsid w:val="00A370A3"/>
    <w:rsid w:val="00A51559"/>
    <w:rsid w:val="00A56336"/>
    <w:rsid w:val="00A70E30"/>
    <w:rsid w:val="00A7235C"/>
    <w:rsid w:val="00A76439"/>
    <w:rsid w:val="00A82D89"/>
    <w:rsid w:val="00A903AF"/>
    <w:rsid w:val="00A90F0B"/>
    <w:rsid w:val="00A928A9"/>
    <w:rsid w:val="00AA3F1C"/>
    <w:rsid w:val="00AB699D"/>
    <w:rsid w:val="00AC0C28"/>
    <w:rsid w:val="00AC50CB"/>
    <w:rsid w:val="00AC628C"/>
    <w:rsid w:val="00AC6685"/>
    <w:rsid w:val="00AD2F06"/>
    <w:rsid w:val="00AD4967"/>
    <w:rsid w:val="00AD5A5F"/>
    <w:rsid w:val="00AE255D"/>
    <w:rsid w:val="00AE3A8E"/>
    <w:rsid w:val="00AF1B12"/>
    <w:rsid w:val="00B03AF4"/>
    <w:rsid w:val="00B12949"/>
    <w:rsid w:val="00B22E0B"/>
    <w:rsid w:val="00B2401C"/>
    <w:rsid w:val="00B301E0"/>
    <w:rsid w:val="00B309EE"/>
    <w:rsid w:val="00B31B70"/>
    <w:rsid w:val="00B43956"/>
    <w:rsid w:val="00B60597"/>
    <w:rsid w:val="00B63BF1"/>
    <w:rsid w:val="00B76464"/>
    <w:rsid w:val="00B84CDF"/>
    <w:rsid w:val="00B876FF"/>
    <w:rsid w:val="00BA0118"/>
    <w:rsid w:val="00BA20F6"/>
    <w:rsid w:val="00BA3D6D"/>
    <w:rsid w:val="00BB1379"/>
    <w:rsid w:val="00BB6D81"/>
    <w:rsid w:val="00BC7B49"/>
    <w:rsid w:val="00BD0AAE"/>
    <w:rsid w:val="00BD5F1E"/>
    <w:rsid w:val="00BF086D"/>
    <w:rsid w:val="00BF31F7"/>
    <w:rsid w:val="00C003B1"/>
    <w:rsid w:val="00C13820"/>
    <w:rsid w:val="00C17558"/>
    <w:rsid w:val="00C25626"/>
    <w:rsid w:val="00C25C3E"/>
    <w:rsid w:val="00C263B1"/>
    <w:rsid w:val="00C30FF2"/>
    <w:rsid w:val="00C33E98"/>
    <w:rsid w:val="00C37EFF"/>
    <w:rsid w:val="00C45638"/>
    <w:rsid w:val="00C457FF"/>
    <w:rsid w:val="00C5305F"/>
    <w:rsid w:val="00C5319E"/>
    <w:rsid w:val="00C5707E"/>
    <w:rsid w:val="00C6054C"/>
    <w:rsid w:val="00C60B26"/>
    <w:rsid w:val="00C616BE"/>
    <w:rsid w:val="00C61876"/>
    <w:rsid w:val="00C62BBF"/>
    <w:rsid w:val="00C657EB"/>
    <w:rsid w:val="00C71CE6"/>
    <w:rsid w:val="00C81D15"/>
    <w:rsid w:val="00C82E3B"/>
    <w:rsid w:val="00C845CB"/>
    <w:rsid w:val="00C93518"/>
    <w:rsid w:val="00CA298C"/>
    <w:rsid w:val="00CA5153"/>
    <w:rsid w:val="00CB4197"/>
    <w:rsid w:val="00CB479E"/>
    <w:rsid w:val="00CD1A1F"/>
    <w:rsid w:val="00CD27F2"/>
    <w:rsid w:val="00CD40E0"/>
    <w:rsid w:val="00CF0D7F"/>
    <w:rsid w:val="00D01BEF"/>
    <w:rsid w:val="00D105AB"/>
    <w:rsid w:val="00D16F8E"/>
    <w:rsid w:val="00D218AA"/>
    <w:rsid w:val="00D40A47"/>
    <w:rsid w:val="00D41048"/>
    <w:rsid w:val="00D41BDA"/>
    <w:rsid w:val="00D446B1"/>
    <w:rsid w:val="00D65BE6"/>
    <w:rsid w:val="00D65F5C"/>
    <w:rsid w:val="00D70004"/>
    <w:rsid w:val="00D72D04"/>
    <w:rsid w:val="00D8029A"/>
    <w:rsid w:val="00D842C3"/>
    <w:rsid w:val="00D9289E"/>
    <w:rsid w:val="00DA3797"/>
    <w:rsid w:val="00DA4A20"/>
    <w:rsid w:val="00DB2642"/>
    <w:rsid w:val="00DB5B9A"/>
    <w:rsid w:val="00DC2756"/>
    <w:rsid w:val="00DC474D"/>
    <w:rsid w:val="00DD0901"/>
    <w:rsid w:val="00DD1AE1"/>
    <w:rsid w:val="00DD51DD"/>
    <w:rsid w:val="00DD64DA"/>
    <w:rsid w:val="00DF47F7"/>
    <w:rsid w:val="00DF5704"/>
    <w:rsid w:val="00DF6574"/>
    <w:rsid w:val="00E001A6"/>
    <w:rsid w:val="00E01978"/>
    <w:rsid w:val="00E026B7"/>
    <w:rsid w:val="00E1154D"/>
    <w:rsid w:val="00E1369E"/>
    <w:rsid w:val="00E14DA4"/>
    <w:rsid w:val="00E1513F"/>
    <w:rsid w:val="00E15DF1"/>
    <w:rsid w:val="00E26A56"/>
    <w:rsid w:val="00E31151"/>
    <w:rsid w:val="00E33C06"/>
    <w:rsid w:val="00E366B2"/>
    <w:rsid w:val="00E47E36"/>
    <w:rsid w:val="00E54155"/>
    <w:rsid w:val="00E61265"/>
    <w:rsid w:val="00E70B7F"/>
    <w:rsid w:val="00E85EF6"/>
    <w:rsid w:val="00E86507"/>
    <w:rsid w:val="00E9397B"/>
    <w:rsid w:val="00E9513A"/>
    <w:rsid w:val="00EB3562"/>
    <w:rsid w:val="00EB3B9A"/>
    <w:rsid w:val="00EB4AF3"/>
    <w:rsid w:val="00EC4E35"/>
    <w:rsid w:val="00EC7A13"/>
    <w:rsid w:val="00EE1EDF"/>
    <w:rsid w:val="00EE336D"/>
    <w:rsid w:val="00EF0FD3"/>
    <w:rsid w:val="00EF4D7E"/>
    <w:rsid w:val="00F006A7"/>
    <w:rsid w:val="00F0262E"/>
    <w:rsid w:val="00F12D65"/>
    <w:rsid w:val="00F143F1"/>
    <w:rsid w:val="00F1550D"/>
    <w:rsid w:val="00F2047D"/>
    <w:rsid w:val="00F23FBA"/>
    <w:rsid w:val="00F4338C"/>
    <w:rsid w:val="00F5078C"/>
    <w:rsid w:val="00F52029"/>
    <w:rsid w:val="00F52FA8"/>
    <w:rsid w:val="00F54F25"/>
    <w:rsid w:val="00F56932"/>
    <w:rsid w:val="00F90592"/>
    <w:rsid w:val="00FA0AA4"/>
    <w:rsid w:val="00FA0E2C"/>
    <w:rsid w:val="00FA2203"/>
    <w:rsid w:val="00FA3231"/>
    <w:rsid w:val="00FA4FB9"/>
    <w:rsid w:val="00FC2DA8"/>
    <w:rsid w:val="00FC5AC9"/>
    <w:rsid w:val="00FC7E57"/>
    <w:rsid w:val="00FD14B1"/>
    <w:rsid w:val="00FF1FAC"/>
    <w:rsid w:val="00FF56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78C30CA1-7117-4F42-9DBC-0F197FE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9437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37B8"/>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9437B8"/>
    <w:rPr>
      <w:vertAlign w:val="superscript"/>
    </w:rPr>
  </w:style>
  <w:style w:type="character" w:styleId="Hipervnculo">
    <w:name w:val="Hyperlink"/>
    <w:basedOn w:val="Fuentedeprrafopredeter"/>
    <w:uiPriority w:val="99"/>
    <w:unhideWhenUsed/>
    <w:rsid w:val="007C0257"/>
    <w:rPr>
      <w:color w:val="0563C1" w:themeColor="hyperlink"/>
      <w:u w:val="single"/>
    </w:rPr>
  </w:style>
  <w:style w:type="character" w:styleId="Refdecomentario">
    <w:name w:val="annotation reference"/>
    <w:basedOn w:val="Fuentedeprrafopredeter"/>
    <w:uiPriority w:val="99"/>
    <w:semiHidden/>
    <w:unhideWhenUsed/>
    <w:rsid w:val="004C4317"/>
    <w:rPr>
      <w:sz w:val="16"/>
      <w:szCs w:val="16"/>
    </w:rPr>
  </w:style>
  <w:style w:type="paragraph" w:styleId="Textocomentario">
    <w:name w:val="annotation text"/>
    <w:basedOn w:val="Normal"/>
    <w:link w:val="TextocomentarioCar"/>
    <w:uiPriority w:val="99"/>
    <w:unhideWhenUsed/>
    <w:rsid w:val="004C4317"/>
    <w:pPr>
      <w:spacing w:line="240" w:lineRule="auto"/>
    </w:pPr>
    <w:rPr>
      <w:sz w:val="20"/>
      <w:szCs w:val="20"/>
    </w:rPr>
  </w:style>
  <w:style w:type="character" w:customStyle="1" w:styleId="TextocomentarioCar">
    <w:name w:val="Texto comentario Car"/>
    <w:basedOn w:val="Fuentedeprrafopredeter"/>
    <w:link w:val="Textocomentario"/>
    <w:uiPriority w:val="99"/>
    <w:rsid w:val="004C431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C4317"/>
    <w:rPr>
      <w:b/>
      <w:bCs/>
    </w:rPr>
  </w:style>
  <w:style w:type="character" w:customStyle="1" w:styleId="AsuntodelcomentarioCar">
    <w:name w:val="Asunto del comentario Car"/>
    <w:basedOn w:val="TextocomentarioCar"/>
    <w:link w:val="Asuntodelcomentario"/>
    <w:uiPriority w:val="99"/>
    <w:semiHidden/>
    <w:rsid w:val="004C4317"/>
    <w:rPr>
      <w:rFonts w:ascii="Calibri" w:eastAsia="Calibri" w:hAnsi="Calibri" w:cs="Times New Roman"/>
      <w:b/>
      <w:bCs/>
      <w:sz w:val="20"/>
      <w:szCs w:val="20"/>
      <w:lang w:val="es-ES"/>
    </w:rPr>
  </w:style>
  <w:style w:type="paragraph" w:styleId="Prrafodelista">
    <w:name w:val="List Paragraph"/>
    <w:aliases w:val="Ha,Normal. Viñetas"/>
    <w:basedOn w:val="Normal"/>
    <w:link w:val="PrrafodelistaCar"/>
    <w:uiPriority w:val="34"/>
    <w:qFormat/>
    <w:rsid w:val="008F404F"/>
    <w:pPr>
      <w:ind w:left="720"/>
      <w:contextualSpacing/>
    </w:pPr>
  </w:style>
  <w:style w:type="character" w:customStyle="1" w:styleId="PrrafodelistaCar">
    <w:name w:val="Párrafo de lista Car"/>
    <w:aliases w:val="Ha Car,Normal. Viñetas Car"/>
    <w:link w:val="Prrafodelista"/>
    <w:uiPriority w:val="34"/>
    <w:locked/>
    <w:rsid w:val="008F404F"/>
    <w:rPr>
      <w:rFonts w:ascii="Calibri" w:eastAsia="Calibri" w:hAnsi="Calibri" w:cs="Times New Roman"/>
      <w:lang w:val="es-ES"/>
    </w:rPr>
  </w:style>
  <w:style w:type="paragraph" w:styleId="Revisin">
    <w:name w:val="Revision"/>
    <w:hidden/>
    <w:uiPriority w:val="99"/>
    <w:semiHidden/>
    <w:rsid w:val="00EC7A13"/>
    <w:pPr>
      <w:spacing w:after="0" w:line="240" w:lineRule="auto"/>
    </w:pPr>
    <w:rPr>
      <w:rFonts w:ascii="Calibri" w:eastAsia="Calibri" w:hAnsi="Calibri" w:cs="Times New Roman"/>
      <w:lang w:val="es-ES"/>
    </w:rPr>
  </w:style>
  <w:style w:type="character" w:customStyle="1" w:styleId="baj">
    <w:name w:val="b_aj"/>
    <w:basedOn w:val="Fuentedeprrafopredeter"/>
    <w:rsid w:val="00521016"/>
  </w:style>
  <w:style w:type="character" w:customStyle="1" w:styleId="iaj">
    <w:name w:val="i_aj"/>
    <w:basedOn w:val="Fuentedeprrafopredeter"/>
    <w:rsid w:val="00727B87"/>
  </w:style>
  <w:style w:type="paragraph" w:customStyle="1" w:styleId="paragraph">
    <w:name w:val="paragraph"/>
    <w:basedOn w:val="Normal"/>
    <w:rsid w:val="00D40A47"/>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D40A47"/>
  </w:style>
  <w:style w:type="character" w:customStyle="1" w:styleId="eop">
    <w:name w:val="eop"/>
    <w:basedOn w:val="Fuentedeprrafopredeter"/>
    <w:rsid w:val="00D40A47"/>
  </w:style>
  <w:style w:type="character" w:customStyle="1" w:styleId="tabchar">
    <w:name w:val="tabchar"/>
    <w:basedOn w:val="Fuentedeprrafopredeter"/>
    <w:rsid w:val="00D4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642">
      <w:bodyDiv w:val="1"/>
      <w:marLeft w:val="0"/>
      <w:marRight w:val="0"/>
      <w:marTop w:val="0"/>
      <w:marBottom w:val="0"/>
      <w:divBdr>
        <w:top w:val="none" w:sz="0" w:space="0" w:color="auto"/>
        <w:left w:val="none" w:sz="0" w:space="0" w:color="auto"/>
        <w:bottom w:val="none" w:sz="0" w:space="0" w:color="auto"/>
        <w:right w:val="none" w:sz="0" w:space="0" w:color="auto"/>
      </w:divBdr>
      <w:divsChild>
        <w:div w:id="932788469">
          <w:marLeft w:val="0"/>
          <w:marRight w:val="0"/>
          <w:marTop w:val="0"/>
          <w:marBottom w:val="0"/>
          <w:divBdr>
            <w:top w:val="none" w:sz="0" w:space="0" w:color="auto"/>
            <w:left w:val="none" w:sz="0" w:space="0" w:color="auto"/>
            <w:bottom w:val="none" w:sz="0" w:space="0" w:color="auto"/>
            <w:right w:val="none" w:sz="0" w:space="0" w:color="auto"/>
          </w:divBdr>
        </w:div>
        <w:div w:id="702559551">
          <w:marLeft w:val="0"/>
          <w:marRight w:val="0"/>
          <w:marTop w:val="0"/>
          <w:marBottom w:val="0"/>
          <w:divBdr>
            <w:top w:val="none" w:sz="0" w:space="0" w:color="auto"/>
            <w:left w:val="none" w:sz="0" w:space="0" w:color="auto"/>
            <w:bottom w:val="none" w:sz="0" w:space="0" w:color="auto"/>
            <w:right w:val="none" w:sz="0" w:space="0" w:color="auto"/>
          </w:divBdr>
        </w:div>
        <w:div w:id="1546289000">
          <w:marLeft w:val="0"/>
          <w:marRight w:val="0"/>
          <w:marTop w:val="0"/>
          <w:marBottom w:val="0"/>
          <w:divBdr>
            <w:top w:val="none" w:sz="0" w:space="0" w:color="auto"/>
            <w:left w:val="none" w:sz="0" w:space="0" w:color="auto"/>
            <w:bottom w:val="none" w:sz="0" w:space="0" w:color="auto"/>
            <w:right w:val="none" w:sz="0" w:space="0" w:color="auto"/>
          </w:divBdr>
        </w:div>
        <w:div w:id="1666476238">
          <w:marLeft w:val="0"/>
          <w:marRight w:val="0"/>
          <w:marTop w:val="0"/>
          <w:marBottom w:val="0"/>
          <w:divBdr>
            <w:top w:val="none" w:sz="0" w:space="0" w:color="auto"/>
            <w:left w:val="none" w:sz="0" w:space="0" w:color="auto"/>
            <w:bottom w:val="none" w:sz="0" w:space="0" w:color="auto"/>
            <w:right w:val="none" w:sz="0" w:space="0" w:color="auto"/>
          </w:divBdr>
        </w:div>
        <w:div w:id="1233813276">
          <w:marLeft w:val="0"/>
          <w:marRight w:val="0"/>
          <w:marTop w:val="0"/>
          <w:marBottom w:val="0"/>
          <w:divBdr>
            <w:top w:val="none" w:sz="0" w:space="0" w:color="auto"/>
            <w:left w:val="none" w:sz="0" w:space="0" w:color="auto"/>
            <w:bottom w:val="none" w:sz="0" w:space="0" w:color="auto"/>
            <w:right w:val="none" w:sz="0" w:space="0" w:color="auto"/>
          </w:divBdr>
        </w:div>
        <w:div w:id="257718494">
          <w:marLeft w:val="0"/>
          <w:marRight w:val="0"/>
          <w:marTop w:val="0"/>
          <w:marBottom w:val="0"/>
          <w:divBdr>
            <w:top w:val="none" w:sz="0" w:space="0" w:color="auto"/>
            <w:left w:val="none" w:sz="0" w:space="0" w:color="auto"/>
            <w:bottom w:val="none" w:sz="0" w:space="0" w:color="auto"/>
            <w:right w:val="none" w:sz="0" w:space="0" w:color="auto"/>
          </w:divBdr>
        </w:div>
      </w:divsChild>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686639673">
      <w:bodyDiv w:val="1"/>
      <w:marLeft w:val="0"/>
      <w:marRight w:val="0"/>
      <w:marTop w:val="0"/>
      <w:marBottom w:val="0"/>
      <w:divBdr>
        <w:top w:val="none" w:sz="0" w:space="0" w:color="auto"/>
        <w:left w:val="none" w:sz="0" w:space="0" w:color="auto"/>
        <w:bottom w:val="none" w:sz="0" w:space="0" w:color="auto"/>
        <w:right w:val="none" w:sz="0" w:space="0" w:color="auto"/>
      </w:divBdr>
    </w:div>
    <w:div w:id="767892241">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706828388">
      <w:bodyDiv w:val="1"/>
      <w:marLeft w:val="0"/>
      <w:marRight w:val="0"/>
      <w:marTop w:val="0"/>
      <w:marBottom w:val="0"/>
      <w:divBdr>
        <w:top w:val="none" w:sz="0" w:space="0" w:color="auto"/>
        <w:left w:val="none" w:sz="0" w:space="0" w:color="auto"/>
        <w:bottom w:val="none" w:sz="0" w:space="0" w:color="auto"/>
        <w:right w:val="none" w:sz="0" w:space="0" w:color="auto"/>
      </w:divBdr>
    </w:div>
    <w:div w:id="1910729568">
      <w:bodyDiv w:val="1"/>
      <w:marLeft w:val="0"/>
      <w:marRight w:val="0"/>
      <w:marTop w:val="0"/>
      <w:marBottom w:val="0"/>
      <w:divBdr>
        <w:top w:val="none" w:sz="0" w:space="0" w:color="auto"/>
        <w:left w:val="none" w:sz="0" w:space="0" w:color="auto"/>
        <w:bottom w:val="none" w:sz="0" w:space="0" w:color="auto"/>
        <w:right w:val="none" w:sz="0" w:space="0" w:color="auto"/>
      </w:divBdr>
    </w:div>
    <w:div w:id="1964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955_2019_pr00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708_200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420_2010.html" TargetMode="External"/><Relationship Id="rId2" Type="http://schemas.openxmlformats.org/officeDocument/2006/relationships/hyperlink" Target="http://www.secretariasenado.gov.co/senado/basedoc/ley_1450_2011_pr004.html" TargetMode="External"/><Relationship Id="rId1" Type="http://schemas.openxmlformats.org/officeDocument/2006/relationships/hyperlink" Target="http://www.secretariasenado.gov.co/senado/basedoc/ley_1450_2011_pr004.html" TargetMode="External"/><Relationship Id="rId4" Type="http://schemas.openxmlformats.org/officeDocument/2006/relationships/hyperlink" Target="https://www.cisa.gov.co/PortalCisa/media/3372/estatutos-sociales-cisa-v7-v-0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6DA7A1803DEA40B1D8F5AE96419490" ma:contentTypeVersion="13" ma:contentTypeDescription="Crear nuevo documento." ma:contentTypeScope="" ma:versionID="b51eae1f9352898bdc66c2604c414147">
  <xsd:schema xmlns:xsd="http://www.w3.org/2001/XMLSchema" xmlns:xs="http://www.w3.org/2001/XMLSchema" xmlns:p="http://schemas.microsoft.com/office/2006/metadata/properties" xmlns:ns3="314d06ab-db3c-40bb-b946-aaa9da6ef322" xmlns:ns4="3d17df00-4606-4d6e-93e5-ab88a8084698" targetNamespace="http://schemas.microsoft.com/office/2006/metadata/properties" ma:root="true" ma:fieldsID="255776038bac230e63fc7488647a4e8b" ns3:_="" ns4:_="">
    <xsd:import namespace="314d06ab-db3c-40bb-b946-aaa9da6ef322"/>
    <xsd:import namespace="3d17df00-4606-4d6e-93e5-ab88a80846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d06ab-db3c-40bb-b946-aaa9da6e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7df00-4606-4d6e-93e5-ab88a808469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4D2D2-3E22-4B4F-B91B-D591937E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d06ab-db3c-40bb-b946-aaa9da6ef322"/>
    <ds:schemaRef ds:uri="3d17df00-4606-4d6e-93e5-ab88a808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0E7F1-F504-4E7A-A52F-D1EB0F7F39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129AB-3854-4F50-9E67-ACEFE550DA26}">
  <ds:schemaRefs>
    <ds:schemaRef ds:uri="http://schemas.openxmlformats.org/officeDocument/2006/bibliography"/>
  </ds:schemaRefs>
</ds:datastoreItem>
</file>

<file path=customXml/itemProps4.xml><?xml version="1.0" encoding="utf-8"?>
<ds:datastoreItem xmlns:ds="http://schemas.openxmlformats.org/officeDocument/2006/customXml" ds:itemID="{079A6E78-538E-4F51-A8E9-C1CA1DE40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2138</Words>
  <Characters>11761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5</cp:revision>
  <cp:lastPrinted>2021-07-02T01:09:00Z</cp:lastPrinted>
  <dcterms:created xsi:type="dcterms:W3CDTF">2021-09-14T19:23:00Z</dcterms:created>
  <dcterms:modified xsi:type="dcterms:W3CDTF">2021-11-05T12:45:00Z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0x010100FA6DA7A1803DEA40B1D8F5AE96419490</vt:lpwstr>
  </property>
</Properties>
</file>